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STFangsong" w:hAnsi="STFangsong" w:eastAsia="STFangsong" w:cs="Arial"/>
          <w:b/>
          <w:bCs/>
          <w:color w:val="000000"/>
          <w:sz w:val="28"/>
          <w:szCs w:val="28"/>
        </w:rPr>
      </w:pPr>
    </w:p>
    <w:p>
      <w:pPr>
        <w:rPr>
          <w:rFonts w:ascii="STFangsong" w:hAnsi="STFangsong" w:eastAsia="STFangsong" w:cs="Arial"/>
          <w:b/>
          <w:bCs/>
          <w:color w:val="000000"/>
          <w:sz w:val="28"/>
          <w:szCs w:val="28"/>
        </w:rPr>
      </w:pPr>
    </w:p>
    <w:p>
      <w:pPr>
        <w:jc w:val="center"/>
        <w:rPr>
          <w:rFonts w:ascii="黑体" w:hAnsi="黑体" w:eastAsia="黑体"/>
          <w:sz w:val="48"/>
          <w:szCs w:val="48"/>
        </w:rPr>
      </w:pPr>
      <w:r>
        <w:rPr>
          <w:rFonts w:hint="eastAsia" w:ascii="黑体" w:hAnsi="黑体" w:eastAsia="黑体" w:cs="Arial"/>
          <w:bCs/>
          <w:color w:val="000000"/>
          <w:sz w:val="48"/>
          <w:szCs w:val="48"/>
        </w:rPr>
        <w:t>项目结题报告</w:t>
      </w:r>
    </w:p>
    <w:p>
      <w:pPr>
        <w:rPr>
          <w:rFonts w:ascii="STFangsong" w:hAnsi="Times" w:eastAsia="STFangsong"/>
          <w:sz w:val="20"/>
          <w:szCs w:val="20"/>
        </w:rPr>
      </w:pPr>
      <w:r>
        <w:rPr>
          <w:rFonts w:hint="eastAsia" w:ascii="STFangsong" w:hAnsi="Times" w:eastAsia="STFangsong"/>
          <w:sz w:val="20"/>
          <w:szCs w:val="20"/>
        </w:rPr>
        <w:t xml:space="preserve"> </w:t>
      </w:r>
    </w:p>
    <w:p>
      <w:pPr>
        <w:rPr>
          <w:rFonts w:ascii="STFangsong" w:hAnsi="Times" w:eastAsia="STFangsong"/>
          <w:sz w:val="20"/>
          <w:szCs w:val="20"/>
        </w:rPr>
      </w:pPr>
    </w:p>
    <w:p>
      <w:pPr>
        <w:snapToGrid w:val="0"/>
        <w:spacing w:line="960" w:lineRule="exact"/>
        <w:rPr>
          <w:rFonts w:ascii="仿宋_GB2312" w:eastAsia="仿宋_GB2312"/>
          <w:sz w:val="32"/>
          <w:szCs w:val="32"/>
          <w:u w:val="single"/>
        </w:rPr>
      </w:pPr>
      <w:r>
        <w:rPr>
          <w:rFonts w:hint="eastAsia" w:ascii="仿宋_GB2312" w:eastAsia="仿宋_GB2312"/>
          <w:sz w:val="32"/>
          <w:szCs w:val="32"/>
        </w:rPr>
        <w:t>项目名称：</w:t>
      </w:r>
      <w:r>
        <w:rPr>
          <w:rFonts w:hint="eastAsia" w:ascii="仿宋_GB2312" w:eastAsia="仿宋_GB2312"/>
          <w:sz w:val="32"/>
          <w:szCs w:val="32"/>
          <w:u w:val="single"/>
          <w:lang w:eastAsia="zh-CN"/>
        </w:rPr>
        <w:t>辽源新龙中德（</w:t>
      </w:r>
      <w:r>
        <w:rPr>
          <w:rFonts w:hint="eastAsia" w:ascii="仿宋_GB2312" w:eastAsia="仿宋_GB2312"/>
          <w:sz w:val="32"/>
          <w:szCs w:val="32"/>
          <w:u w:val="single"/>
          <w:lang w:val="en-US" w:eastAsia="zh-CN"/>
        </w:rPr>
        <w:t>AHK</w:t>
      </w:r>
      <w:r>
        <w:rPr>
          <w:rFonts w:hint="eastAsia" w:ascii="仿宋_GB2312" w:eastAsia="仿宋_GB2312"/>
          <w:sz w:val="32"/>
          <w:szCs w:val="32"/>
          <w:u w:val="single"/>
          <w:lang w:eastAsia="zh-CN"/>
        </w:rPr>
        <w:t>）产学研创新制造实训基地</w:t>
      </w:r>
      <w:r>
        <w:rPr>
          <w:rFonts w:hint="eastAsia" w:ascii="仿宋_GB2312" w:eastAsia="仿宋_GB2312"/>
          <w:sz w:val="32"/>
          <w:szCs w:val="32"/>
          <w:u w:val="single"/>
        </w:rPr>
        <w:t xml:space="preserve"> </w:t>
      </w:r>
    </w:p>
    <w:p>
      <w:pPr>
        <w:snapToGrid w:val="0"/>
        <w:spacing w:line="960" w:lineRule="exact"/>
        <w:rPr>
          <w:rFonts w:ascii="仿宋_GB2312" w:eastAsia="仿宋_GB2312"/>
          <w:sz w:val="32"/>
          <w:szCs w:val="32"/>
          <w:u w:val="single"/>
        </w:rPr>
      </w:pPr>
      <w:r>
        <w:rPr>
          <w:rFonts w:hint="eastAsia" w:ascii="仿宋_GB2312" w:eastAsia="仿宋_GB2312"/>
          <w:sz w:val="32"/>
          <w:szCs w:val="32"/>
        </w:rPr>
        <w:t>负 责 人：</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 xml:space="preserve"> </w:t>
      </w:r>
      <w:r>
        <w:rPr>
          <w:rFonts w:hint="eastAsia" w:ascii="仿宋_GB2312" w:eastAsia="仿宋_GB2312"/>
          <w:sz w:val="32"/>
          <w:szCs w:val="32"/>
          <w:u w:val="single"/>
        </w:rPr>
        <w:t xml:space="preserve"> </w:t>
      </w:r>
      <w:r>
        <w:rPr>
          <w:rFonts w:hint="eastAsia" w:ascii="仿宋_GB2312" w:eastAsia="仿宋_GB2312"/>
          <w:sz w:val="32"/>
          <w:szCs w:val="32"/>
          <w:u w:val="single"/>
          <w:lang w:eastAsia="zh-CN"/>
        </w:rPr>
        <w:t>石笙良</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 xml:space="preserve">        </w:t>
      </w:r>
      <w:r>
        <w:rPr>
          <w:rFonts w:hint="eastAsia" w:ascii="仿宋_GB2312" w:eastAsia="仿宋_GB2312"/>
          <w:sz w:val="32"/>
          <w:szCs w:val="32"/>
          <w:u w:val="single"/>
        </w:rPr>
        <w:t xml:space="preserve">      </w:t>
      </w:r>
    </w:p>
    <w:p>
      <w:pPr>
        <w:snapToGrid w:val="0"/>
        <w:spacing w:line="960" w:lineRule="exact"/>
        <w:rPr>
          <w:rFonts w:ascii="仿宋_GB2312" w:eastAsia="仿宋_GB2312"/>
          <w:sz w:val="32"/>
          <w:szCs w:val="32"/>
          <w:u w:val="single"/>
        </w:rPr>
      </w:pPr>
      <w:r>
        <w:rPr>
          <w:rFonts w:hint="eastAsia" w:ascii="仿宋_GB2312" w:eastAsia="仿宋_GB2312"/>
          <w:sz w:val="32"/>
          <w:szCs w:val="32"/>
        </w:rPr>
        <w:t>联系电话：</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13904378183</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 xml:space="preserve"> </w:t>
      </w:r>
      <w:r>
        <w:rPr>
          <w:rFonts w:hint="eastAsia" w:ascii="仿宋_GB2312" w:eastAsia="仿宋_GB2312"/>
          <w:sz w:val="32"/>
          <w:szCs w:val="32"/>
          <w:u w:val="single"/>
        </w:rPr>
        <w:t xml:space="preserve">      </w:t>
      </w:r>
    </w:p>
    <w:p>
      <w:pPr>
        <w:snapToGrid w:val="0"/>
        <w:spacing w:line="960" w:lineRule="exact"/>
        <w:rPr>
          <w:rFonts w:ascii="仿宋_GB2312" w:eastAsia="仿宋_GB2312"/>
          <w:sz w:val="32"/>
          <w:szCs w:val="32"/>
        </w:rPr>
      </w:pPr>
      <w:r>
        <w:rPr>
          <w:rFonts w:hint="eastAsia" w:ascii="仿宋_GB2312" w:eastAsia="仿宋_GB2312"/>
          <w:sz w:val="32"/>
          <w:szCs w:val="32"/>
        </w:rPr>
        <w:t>工作邮箱：</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s13504376565@163.com</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 xml:space="preserve">       </w:t>
      </w:r>
      <w:r>
        <w:rPr>
          <w:rFonts w:hint="eastAsia" w:ascii="仿宋_GB2312" w:eastAsia="仿宋_GB2312"/>
          <w:sz w:val="32"/>
          <w:szCs w:val="32"/>
          <w:u w:val="single"/>
        </w:rPr>
        <w:t xml:space="preserve"> </w:t>
      </w:r>
    </w:p>
    <w:p>
      <w:pPr>
        <w:snapToGrid w:val="0"/>
        <w:spacing w:line="960" w:lineRule="exact"/>
        <w:rPr>
          <w:rFonts w:hint="eastAsia" w:ascii="仿宋_GB2312" w:eastAsia="仿宋_GB2312"/>
          <w:sz w:val="32"/>
          <w:szCs w:val="32"/>
          <w:u w:val="single"/>
        </w:rPr>
      </w:pPr>
      <w:r>
        <w:rPr>
          <w:rFonts w:hint="eastAsia" w:ascii="仿宋_GB2312" w:eastAsia="仿宋_GB2312"/>
          <w:sz w:val="32"/>
          <w:szCs w:val="32"/>
        </w:rPr>
        <w:t>学校名称：</w:t>
      </w:r>
      <w:r>
        <w:rPr>
          <w:rFonts w:hint="eastAsia" w:ascii="仿宋_GB2312" w:eastAsia="仿宋_GB2312"/>
          <w:sz w:val="32"/>
          <w:szCs w:val="32"/>
          <w:u w:val="single"/>
        </w:rPr>
        <w:t xml:space="preserve">      </w:t>
      </w:r>
      <w:r>
        <w:rPr>
          <w:rFonts w:hint="eastAsia" w:ascii="仿宋_GB2312" w:eastAsia="仿宋_GB2312"/>
          <w:sz w:val="32"/>
          <w:szCs w:val="32"/>
          <w:u w:val="single"/>
          <w:lang w:eastAsia="zh-CN"/>
        </w:rPr>
        <w:t>长春汽车工业高等专科学校</w:t>
      </w:r>
      <w:r>
        <w:rPr>
          <w:rFonts w:hint="eastAsia" w:ascii="仿宋_GB2312" w:eastAsia="仿宋_GB2312"/>
          <w:sz w:val="32"/>
          <w:szCs w:val="32"/>
          <w:u w:val="single"/>
        </w:rPr>
        <w:t xml:space="preserve">             </w:t>
      </w:r>
    </w:p>
    <w:p>
      <w:pPr>
        <w:snapToGrid w:val="0"/>
        <w:spacing w:line="960" w:lineRule="exact"/>
        <w:rPr>
          <w:rFonts w:ascii="仿宋_GB2312" w:eastAsia="仿宋_GB2312"/>
          <w:sz w:val="32"/>
          <w:szCs w:val="32"/>
        </w:rPr>
      </w:pPr>
      <w:r>
        <w:rPr>
          <w:rFonts w:hint="eastAsia" w:ascii="仿宋_GB2312" w:eastAsia="仿宋_GB2312"/>
          <w:sz w:val="32"/>
          <w:szCs w:val="32"/>
        </w:rPr>
        <w:t>学校名称：</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 xml:space="preserve">    </w:t>
      </w:r>
      <w:r>
        <w:rPr>
          <w:rFonts w:hint="eastAsia" w:ascii="仿宋_GB2312" w:eastAsia="仿宋_GB2312"/>
          <w:sz w:val="32"/>
          <w:szCs w:val="32"/>
          <w:u w:val="single"/>
          <w:lang w:eastAsia="zh-CN"/>
        </w:rPr>
        <w:t>辽源市工商学校</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 xml:space="preserve">   </w:t>
      </w:r>
      <w:r>
        <w:rPr>
          <w:rFonts w:hint="eastAsia" w:ascii="仿宋_GB2312" w:eastAsia="仿宋_GB2312"/>
          <w:sz w:val="32"/>
          <w:szCs w:val="32"/>
          <w:u w:val="single"/>
        </w:rPr>
        <w:t xml:space="preserve">            </w:t>
      </w:r>
    </w:p>
    <w:p>
      <w:pPr>
        <w:snapToGrid w:val="0"/>
        <w:spacing w:line="960" w:lineRule="exact"/>
        <w:rPr>
          <w:rFonts w:ascii="仿宋_GB2312" w:eastAsia="仿宋_GB2312"/>
          <w:sz w:val="30"/>
          <w:szCs w:val="30"/>
          <w:u w:val="single"/>
        </w:rPr>
      </w:pPr>
      <w:r>
        <w:rPr>
          <w:rFonts w:hint="eastAsia" w:ascii="仿宋_GB2312" w:eastAsia="仿宋_GB2312"/>
          <w:sz w:val="32"/>
          <w:szCs w:val="32"/>
        </w:rPr>
        <w:t>通信地址：</w:t>
      </w:r>
      <w:r>
        <w:rPr>
          <w:rFonts w:hint="eastAsia" w:ascii="仿宋_GB2312" w:eastAsia="仿宋_GB2312"/>
          <w:sz w:val="32"/>
          <w:szCs w:val="32"/>
          <w:u w:val="single"/>
        </w:rPr>
        <w:t xml:space="preserve">         </w:t>
      </w:r>
      <w:r>
        <w:rPr>
          <w:rFonts w:hint="eastAsia" w:ascii="仿宋_GB2312" w:eastAsia="仿宋_GB2312"/>
          <w:sz w:val="32"/>
          <w:szCs w:val="32"/>
          <w:u w:val="single"/>
          <w:lang w:eastAsia="zh-CN"/>
        </w:rPr>
        <w:t>辽源市龙山工业开发区南区</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 xml:space="preserve">   </w:t>
      </w:r>
      <w:r>
        <w:rPr>
          <w:rFonts w:hint="eastAsia" w:ascii="仿宋_GB2312" w:eastAsia="仿宋_GB2312"/>
          <w:sz w:val="32"/>
          <w:szCs w:val="32"/>
          <w:u w:val="single"/>
        </w:rPr>
        <w:t xml:space="preserve"> </w:t>
      </w:r>
    </w:p>
    <w:p>
      <w:pPr>
        <w:snapToGrid w:val="0"/>
        <w:spacing w:line="960" w:lineRule="exact"/>
        <w:rPr>
          <w:rFonts w:ascii="仿宋_GB2312" w:eastAsia="仿宋_GB2312"/>
          <w:sz w:val="32"/>
          <w:szCs w:val="32"/>
          <w:u w:val="single"/>
        </w:rPr>
      </w:pPr>
      <w:r>
        <w:rPr>
          <w:rFonts w:hint="eastAsia" w:ascii="仿宋_GB2312" w:eastAsia="仿宋_GB2312"/>
          <w:sz w:val="32"/>
          <w:szCs w:val="32"/>
        </w:rPr>
        <w:t>报告日期：</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 xml:space="preserve">   2020年3月18日             </w:t>
      </w:r>
      <w:r>
        <w:rPr>
          <w:rFonts w:hint="eastAsia" w:ascii="仿宋_GB2312" w:eastAsia="仿宋_GB2312"/>
          <w:sz w:val="32"/>
          <w:szCs w:val="32"/>
          <w:u w:val="single"/>
        </w:rPr>
        <w:t xml:space="preserve">    </w:t>
      </w:r>
    </w:p>
    <w:p>
      <w:pPr>
        <w:spacing w:line="1000" w:lineRule="exact"/>
        <w:jc w:val="center"/>
        <w:rPr>
          <w:rFonts w:ascii="方正小标宋简体" w:hAnsi="STFangsong" w:eastAsia="方正小标宋简体" w:cs="Arial"/>
          <w:bCs/>
          <w:color w:val="000000"/>
          <w:sz w:val="32"/>
          <w:szCs w:val="32"/>
        </w:rPr>
      </w:pPr>
    </w:p>
    <w:p>
      <w:pPr>
        <w:spacing w:line="1000" w:lineRule="exact"/>
        <w:rPr>
          <w:rFonts w:ascii="方正小标宋简体" w:hAnsi="Times" w:eastAsia="方正小标宋简体"/>
          <w:sz w:val="32"/>
          <w:szCs w:val="32"/>
        </w:rPr>
      </w:pPr>
    </w:p>
    <w:p>
      <w:pPr>
        <w:rPr>
          <w:rFonts w:ascii="STFangsong" w:hAnsi="Times" w:eastAsia="STFangsong"/>
          <w:sz w:val="20"/>
          <w:szCs w:val="20"/>
        </w:rPr>
      </w:pPr>
    </w:p>
    <w:p>
      <w:pPr>
        <w:rPr>
          <w:rFonts w:ascii="STFangsong" w:hAnsi="Times" w:eastAsia="STFangsong"/>
          <w:sz w:val="20"/>
          <w:szCs w:val="20"/>
        </w:rPr>
      </w:pPr>
    </w:p>
    <w:p>
      <w:pPr>
        <w:rPr>
          <w:rFonts w:ascii="STFangsong" w:hAnsi="Times" w:eastAsia="STFangsong"/>
          <w:sz w:val="20"/>
          <w:szCs w:val="20"/>
        </w:rPr>
      </w:pPr>
    </w:p>
    <w:p>
      <w:pPr>
        <w:rPr>
          <w:rFonts w:ascii="STFangsong" w:hAnsi="Times" w:eastAsia="STFangsong"/>
          <w:sz w:val="20"/>
          <w:szCs w:val="20"/>
        </w:rPr>
      </w:pPr>
    </w:p>
    <w:p>
      <w:pPr>
        <w:rPr>
          <w:rFonts w:ascii="STFangsong" w:hAnsi="Times" w:eastAsia="STFangsong"/>
          <w:sz w:val="20"/>
          <w:szCs w:val="20"/>
        </w:rPr>
      </w:pPr>
    </w:p>
    <w:p>
      <w:pPr>
        <w:pStyle w:val="9"/>
        <w:numPr>
          <w:ilvl w:val="0"/>
          <w:numId w:val="1"/>
        </w:numPr>
        <w:ind w:firstLineChars="0"/>
        <w:jc w:val="both"/>
        <w:rPr>
          <w:rFonts w:ascii="黑体" w:hAnsi="黑体" w:eastAsia="黑体" w:cs="Arial"/>
          <w:color w:val="000000"/>
          <w:sz w:val="32"/>
          <w:szCs w:val="32"/>
        </w:rPr>
      </w:pPr>
      <w:r>
        <w:rPr>
          <w:rFonts w:hint="eastAsia" w:ascii="黑体" w:hAnsi="黑体" w:eastAsia="黑体" w:cs="Arial"/>
          <w:color w:val="000000"/>
          <w:sz w:val="32"/>
          <w:szCs w:val="32"/>
        </w:rPr>
        <w:t>项目完成内容</w:t>
      </w:r>
    </w:p>
    <w:p>
      <w:pPr>
        <w:numPr>
          <w:ilvl w:val="0"/>
          <w:numId w:val="2"/>
        </w:numPr>
        <w:jc w:val="both"/>
        <w:rPr>
          <w:rFonts w:ascii="黑体" w:hAnsi="黑体" w:eastAsia="黑体" w:cs="Arial"/>
          <w:color w:val="000000"/>
          <w:sz w:val="32"/>
          <w:szCs w:val="32"/>
        </w:rPr>
      </w:pPr>
      <w:r>
        <w:rPr>
          <w:rFonts w:ascii="黑体" w:hAnsi="黑体" w:eastAsia="黑体" w:cs="Arial"/>
          <w:color w:val="000000"/>
          <w:sz w:val="32"/>
          <w:szCs w:val="32"/>
        </w:rPr>
        <w:t>建设目标</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640" w:firstLineChars="200"/>
        <w:jc w:val="both"/>
        <w:textAlignment w:val="auto"/>
        <w:rPr>
          <w:rFonts w:hint="default" w:ascii="仿宋_GB2312" w:hAnsi="STFangsong" w:eastAsia="仿宋_GB2312" w:cs="Arial"/>
          <w:color w:val="000000"/>
          <w:kern w:val="0"/>
          <w:sz w:val="32"/>
          <w:szCs w:val="32"/>
          <w:lang w:val="en-US" w:eastAsia="zh-CN" w:bidi="ar-SA"/>
        </w:rPr>
      </w:pPr>
      <w:r>
        <w:rPr>
          <w:rFonts w:hint="default" w:ascii="仿宋_GB2312" w:hAnsi="STFangsong" w:eastAsia="仿宋_GB2312" w:cs="Arial"/>
          <w:color w:val="000000"/>
          <w:kern w:val="0"/>
          <w:sz w:val="32"/>
          <w:szCs w:val="32"/>
          <w:lang w:val="en-US" w:eastAsia="zh-CN" w:bidi="ar-SA"/>
        </w:rPr>
        <w:t>公司在未来三年</w:t>
      </w:r>
      <w:r>
        <w:rPr>
          <w:rFonts w:hint="eastAsia" w:ascii="仿宋_GB2312" w:hAnsi="STFangsong" w:eastAsia="仿宋_GB2312" w:cs="Arial"/>
          <w:color w:val="000000"/>
          <w:kern w:val="0"/>
          <w:sz w:val="32"/>
          <w:szCs w:val="32"/>
          <w:lang w:val="en-US" w:eastAsia="zh-CN" w:bidi="ar-SA"/>
        </w:rPr>
        <w:t>的</w:t>
      </w:r>
      <w:r>
        <w:rPr>
          <w:rFonts w:hint="default" w:ascii="仿宋_GB2312" w:hAnsi="STFangsong" w:eastAsia="仿宋_GB2312" w:cs="Arial"/>
          <w:color w:val="000000"/>
          <w:kern w:val="0"/>
          <w:sz w:val="32"/>
          <w:szCs w:val="32"/>
          <w:lang w:val="en-US" w:eastAsia="zh-CN" w:bidi="ar-SA"/>
        </w:rPr>
        <w:t>规划纲要将继续</w:t>
      </w:r>
      <w:r>
        <w:rPr>
          <w:rFonts w:hint="eastAsia" w:ascii="仿宋_GB2312" w:hAnsi="STFangsong" w:eastAsia="仿宋_GB2312" w:cs="Arial"/>
          <w:color w:val="000000"/>
          <w:kern w:val="0"/>
          <w:sz w:val="32"/>
          <w:szCs w:val="32"/>
          <w:lang w:val="en-US" w:eastAsia="zh-CN" w:bidi="ar-SA"/>
        </w:rPr>
        <w:t>以产品质量提升为永恒主题，以市场开发为重点</w:t>
      </w:r>
      <w:r>
        <w:rPr>
          <w:rFonts w:hint="default" w:ascii="仿宋_GB2312" w:hAnsi="STFangsong" w:eastAsia="仿宋_GB2312" w:cs="Arial"/>
          <w:color w:val="000000"/>
          <w:kern w:val="0"/>
          <w:sz w:val="32"/>
          <w:szCs w:val="32"/>
          <w:lang w:val="en-US" w:eastAsia="zh-CN" w:bidi="ar-SA"/>
        </w:rPr>
        <w:t>，以创新制造</w:t>
      </w:r>
      <w:r>
        <w:rPr>
          <w:rFonts w:hint="eastAsia" w:ascii="仿宋_GB2312" w:hAnsi="STFangsong" w:eastAsia="仿宋_GB2312" w:cs="Arial"/>
          <w:color w:val="000000"/>
          <w:kern w:val="0"/>
          <w:sz w:val="32"/>
          <w:szCs w:val="32"/>
          <w:lang w:val="en-US" w:eastAsia="zh-CN" w:bidi="ar-SA"/>
        </w:rPr>
        <w:t>高智能高技术</w:t>
      </w:r>
      <w:r>
        <w:rPr>
          <w:rFonts w:hint="default" w:ascii="仿宋_GB2312" w:hAnsi="STFangsong" w:eastAsia="仿宋_GB2312" w:cs="Arial"/>
          <w:color w:val="000000"/>
          <w:kern w:val="0"/>
          <w:sz w:val="32"/>
          <w:szCs w:val="32"/>
          <w:lang w:val="en-US" w:eastAsia="zh-CN" w:bidi="ar-SA"/>
        </w:rPr>
        <w:t>引领企业发展。</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640" w:firstLineChars="200"/>
        <w:jc w:val="both"/>
        <w:textAlignment w:val="auto"/>
        <w:rPr>
          <w:rFonts w:hint="default" w:ascii="仿宋_GB2312" w:hAnsi="STFangsong" w:eastAsia="仿宋_GB2312" w:cs="Arial"/>
          <w:color w:val="000000"/>
          <w:kern w:val="0"/>
          <w:sz w:val="32"/>
          <w:szCs w:val="32"/>
          <w:lang w:val="en-US" w:eastAsia="zh-CN" w:bidi="ar-SA"/>
        </w:rPr>
      </w:pPr>
      <w:r>
        <w:rPr>
          <w:rFonts w:hint="eastAsia" w:ascii="仿宋_GB2312" w:hAnsi="STFangsong" w:eastAsia="仿宋_GB2312" w:cs="Arial"/>
          <w:color w:val="000000"/>
          <w:kern w:val="0"/>
          <w:sz w:val="32"/>
          <w:szCs w:val="32"/>
          <w:lang w:val="en-US" w:eastAsia="zh-CN" w:bidi="ar-SA"/>
        </w:rPr>
        <w:t>1、</w:t>
      </w:r>
      <w:r>
        <w:rPr>
          <w:rFonts w:hint="default" w:ascii="仿宋_GB2312" w:hAnsi="STFangsong" w:eastAsia="仿宋_GB2312" w:cs="Arial"/>
          <w:color w:val="000000"/>
          <w:kern w:val="0"/>
          <w:sz w:val="32"/>
          <w:szCs w:val="32"/>
          <w:lang w:val="en-US" w:eastAsia="zh-CN" w:bidi="ar-SA"/>
        </w:rPr>
        <w:t>根据</w:t>
      </w:r>
      <w:r>
        <w:rPr>
          <w:rFonts w:hint="eastAsia" w:ascii="仿宋_GB2312" w:hAnsi="STFangsong" w:eastAsia="仿宋_GB2312" w:cs="Arial"/>
          <w:color w:val="000000"/>
          <w:kern w:val="0"/>
          <w:sz w:val="32"/>
          <w:szCs w:val="32"/>
          <w:lang w:val="en-US" w:eastAsia="zh-CN" w:bidi="ar-SA"/>
        </w:rPr>
        <w:t>我国</w:t>
      </w:r>
      <w:r>
        <w:rPr>
          <w:rFonts w:hint="default" w:ascii="仿宋_GB2312" w:hAnsi="STFangsong" w:eastAsia="仿宋_GB2312" w:cs="Arial"/>
          <w:color w:val="000000"/>
          <w:kern w:val="0"/>
          <w:sz w:val="32"/>
          <w:szCs w:val="32"/>
          <w:lang w:val="en-US" w:eastAsia="zh-CN" w:bidi="ar-SA"/>
        </w:rPr>
        <w:t>汽车行业发展</w:t>
      </w:r>
      <w:r>
        <w:rPr>
          <w:rFonts w:hint="eastAsia" w:ascii="仿宋_GB2312" w:hAnsi="STFangsong" w:eastAsia="仿宋_GB2312" w:cs="Arial"/>
          <w:color w:val="000000"/>
          <w:kern w:val="0"/>
          <w:sz w:val="32"/>
          <w:szCs w:val="32"/>
          <w:lang w:val="en-US" w:eastAsia="zh-CN" w:bidi="ar-SA"/>
        </w:rPr>
        <w:t>需要</w:t>
      </w:r>
      <w:r>
        <w:rPr>
          <w:rFonts w:hint="default" w:ascii="仿宋_GB2312" w:hAnsi="STFangsong" w:eastAsia="仿宋_GB2312" w:cs="Arial"/>
          <w:color w:val="000000"/>
          <w:kern w:val="0"/>
          <w:sz w:val="32"/>
          <w:szCs w:val="32"/>
          <w:lang w:val="en-US" w:eastAsia="zh-CN" w:bidi="ar-SA"/>
        </w:rPr>
        <w:t>，公司以IATF16949国际质量管理体系为主线，</w:t>
      </w:r>
      <w:r>
        <w:rPr>
          <w:rFonts w:hint="eastAsia" w:ascii="仿宋_GB2312" w:hAnsi="STFangsong" w:eastAsia="仿宋_GB2312" w:cs="Arial"/>
          <w:color w:val="000000"/>
          <w:kern w:val="0"/>
          <w:sz w:val="32"/>
          <w:szCs w:val="32"/>
          <w:lang w:val="en-US" w:eastAsia="zh-CN" w:bidi="ar-SA"/>
        </w:rPr>
        <w:t>在原已上线配套产品生产的基础上，</w:t>
      </w:r>
      <w:r>
        <w:rPr>
          <w:rFonts w:hint="default" w:ascii="仿宋_GB2312" w:hAnsi="STFangsong" w:eastAsia="仿宋_GB2312" w:cs="Arial"/>
          <w:color w:val="000000"/>
          <w:kern w:val="0"/>
          <w:sz w:val="32"/>
          <w:szCs w:val="32"/>
          <w:lang w:val="en-US" w:eastAsia="zh-CN" w:bidi="ar-SA"/>
        </w:rPr>
        <w:t>与客户协调创新开发新产品，以顾客的信息</w:t>
      </w:r>
      <w:r>
        <w:rPr>
          <w:rFonts w:hint="eastAsia" w:ascii="仿宋_GB2312" w:hAnsi="STFangsong" w:eastAsia="仿宋_GB2312" w:cs="Arial"/>
          <w:color w:val="000000"/>
          <w:kern w:val="0"/>
          <w:sz w:val="32"/>
          <w:szCs w:val="32"/>
          <w:lang w:val="en-US" w:eastAsia="zh-CN" w:bidi="ar-SA"/>
        </w:rPr>
        <w:t>需求</w:t>
      </w:r>
      <w:r>
        <w:rPr>
          <w:rFonts w:hint="default" w:ascii="仿宋_GB2312" w:hAnsi="STFangsong" w:eastAsia="仿宋_GB2312" w:cs="Arial"/>
          <w:color w:val="000000"/>
          <w:kern w:val="0"/>
          <w:sz w:val="32"/>
          <w:szCs w:val="32"/>
          <w:lang w:val="en-US" w:eastAsia="zh-CN" w:bidi="ar-SA"/>
        </w:rPr>
        <w:t>，提供产品的开发计划，确定新产品TR方案和可行性研究报告，完善</w:t>
      </w:r>
      <w:r>
        <w:rPr>
          <w:rFonts w:hint="eastAsia" w:ascii="仿宋_GB2312" w:hAnsi="STFangsong" w:eastAsia="仿宋_GB2312" w:cs="Arial"/>
          <w:color w:val="000000"/>
          <w:kern w:val="0"/>
          <w:sz w:val="32"/>
          <w:szCs w:val="32"/>
          <w:lang w:val="en-US" w:eastAsia="zh-CN" w:bidi="ar-SA"/>
        </w:rPr>
        <w:t>产品试验检测中心，</w:t>
      </w:r>
      <w:r>
        <w:rPr>
          <w:rFonts w:hint="default" w:ascii="仿宋_GB2312" w:hAnsi="STFangsong" w:eastAsia="仿宋_GB2312" w:cs="Arial"/>
          <w:color w:val="000000"/>
          <w:kern w:val="0"/>
          <w:sz w:val="32"/>
          <w:szCs w:val="32"/>
          <w:lang w:val="en-US" w:eastAsia="zh-CN" w:bidi="ar-SA"/>
        </w:rPr>
        <w:t>产品研发</w:t>
      </w:r>
      <w:r>
        <w:rPr>
          <w:rFonts w:hint="eastAsia" w:ascii="仿宋_GB2312" w:hAnsi="STFangsong" w:eastAsia="仿宋_GB2312" w:cs="Arial"/>
          <w:color w:val="000000"/>
          <w:kern w:val="0"/>
          <w:sz w:val="32"/>
          <w:szCs w:val="32"/>
          <w:lang w:val="en-US" w:eastAsia="zh-CN" w:bidi="ar-SA"/>
        </w:rPr>
        <w:t>中心</w:t>
      </w:r>
      <w:r>
        <w:rPr>
          <w:rFonts w:hint="default" w:ascii="仿宋_GB2312" w:hAnsi="STFangsong" w:eastAsia="仿宋_GB2312" w:cs="Arial"/>
          <w:color w:val="000000"/>
          <w:kern w:val="0"/>
          <w:sz w:val="32"/>
          <w:szCs w:val="32"/>
          <w:lang w:val="en-US" w:eastAsia="zh-CN" w:bidi="ar-SA"/>
        </w:rPr>
        <w:t>建设，坚持技术创新与制度创新相结合的原则，拓宽</w:t>
      </w:r>
      <w:r>
        <w:rPr>
          <w:rFonts w:hint="eastAsia" w:ascii="仿宋_GB2312" w:hAnsi="STFangsong" w:eastAsia="仿宋_GB2312" w:cs="Arial"/>
          <w:color w:val="000000"/>
          <w:kern w:val="0"/>
          <w:sz w:val="32"/>
          <w:szCs w:val="32"/>
          <w:lang w:val="en-US" w:eastAsia="zh-CN" w:bidi="ar-SA"/>
        </w:rPr>
        <w:t>更大的</w:t>
      </w:r>
      <w:r>
        <w:rPr>
          <w:rFonts w:hint="default" w:ascii="仿宋_GB2312" w:hAnsi="STFangsong" w:eastAsia="仿宋_GB2312" w:cs="Arial"/>
          <w:color w:val="000000"/>
          <w:kern w:val="0"/>
          <w:sz w:val="32"/>
          <w:szCs w:val="32"/>
          <w:lang w:val="en-US" w:eastAsia="zh-CN" w:bidi="ar-SA"/>
        </w:rPr>
        <w:t>市场。</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640" w:firstLineChars="200"/>
        <w:jc w:val="both"/>
        <w:textAlignment w:val="auto"/>
        <w:rPr>
          <w:rFonts w:hint="default" w:ascii="仿宋_GB2312" w:hAnsi="STFangsong" w:eastAsia="仿宋_GB2312" w:cs="Arial"/>
          <w:color w:val="000000"/>
          <w:kern w:val="0"/>
          <w:sz w:val="32"/>
          <w:szCs w:val="32"/>
          <w:lang w:val="en-US" w:eastAsia="zh-CN" w:bidi="ar-SA"/>
        </w:rPr>
      </w:pPr>
      <w:r>
        <w:rPr>
          <w:rFonts w:hint="eastAsia" w:ascii="仿宋_GB2312" w:hAnsi="STFangsong" w:eastAsia="仿宋_GB2312" w:cs="Arial"/>
          <w:color w:val="000000"/>
          <w:kern w:val="0"/>
          <w:sz w:val="32"/>
          <w:szCs w:val="32"/>
          <w:lang w:val="en-US" w:eastAsia="zh-CN" w:bidi="ar-SA"/>
        </w:rPr>
        <w:t>2、</w:t>
      </w:r>
      <w:r>
        <w:rPr>
          <w:rFonts w:hint="default" w:ascii="仿宋_GB2312" w:hAnsi="STFangsong" w:eastAsia="仿宋_GB2312" w:cs="Arial"/>
          <w:color w:val="000000"/>
          <w:kern w:val="0"/>
          <w:sz w:val="32"/>
          <w:szCs w:val="32"/>
          <w:lang w:val="en-US" w:eastAsia="zh-CN" w:bidi="ar-SA"/>
        </w:rPr>
        <w:t>重点</w:t>
      </w:r>
      <w:r>
        <w:rPr>
          <w:rFonts w:hint="eastAsia" w:ascii="仿宋_GB2312" w:hAnsi="STFangsong" w:eastAsia="仿宋_GB2312" w:cs="Arial"/>
          <w:color w:val="000000"/>
          <w:kern w:val="0"/>
          <w:sz w:val="32"/>
          <w:szCs w:val="32"/>
          <w:lang w:val="en-US" w:eastAsia="zh-CN" w:bidi="ar-SA"/>
        </w:rPr>
        <w:t>完成开发</w:t>
      </w:r>
      <w:r>
        <w:rPr>
          <w:rFonts w:hint="default" w:ascii="仿宋_GB2312" w:hAnsi="STFangsong" w:eastAsia="仿宋_GB2312" w:cs="Arial"/>
          <w:color w:val="000000"/>
          <w:kern w:val="0"/>
          <w:sz w:val="32"/>
          <w:szCs w:val="32"/>
          <w:lang w:val="en-US" w:eastAsia="zh-CN" w:bidi="ar-SA"/>
        </w:rPr>
        <w:t>进入</w:t>
      </w:r>
      <w:r>
        <w:rPr>
          <w:rFonts w:hint="eastAsia" w:ascii="仿宋_GB2312" w:hAnsi="STFangsong" w:eastAsia="仿宋_GB2312" w:cs="Arial"/>
          <w:color w:val="000000"/>
          <w:kern w:val="0"/>
          <w:sz w:val="32"/>
          <w:szCs w:val="32"/>
          <w:lang w:val="en-US" w:eastAsia="zh-CN" w:bidi="ar-SA"/>
        </w:rPr>
        <w:t>工业</w:t>
      </w:r>
      <w:r>
        <w:rPr>
          <w:rFonts w:hint="default" w:ascii="仿宋_GB2312" w:hAnsi="STFangsong" w:eastAsia="仿宋_GB2312" w:cs="Arial"/>
          <w:color w:val="000000"/>
          <w:kern w:val="0"/>
          <w:sz w:val="32"/>
          <w:szCs w:val="32"/>
          <w:lang w:val="en-US" w:eastAsia="zh-CN" w:bidi="ar-SA"/>
        </w:rPr>
        <w:t>互联网+</w:t>
      </w:r>
      <w:r>
        <w:rPr>
          <w:rFonts w:hint="eastAsia" w:ascii="仿宋_GB2312" w:hAnsi="STFangsong" w:eastAsia="仿宋_GB2312" w:cs="Arial"/>
          <w:color w:val="000000"/>
          <w:kern w:val="0"/>
          <w:sz w:val="32"/>
          <w:szCs w:val="32"/>
          <w:lang w:val="en-US" w:eastAsia="zh-CN" w:bidi="ar-SA"/>
        </w:rPr>
        <w:t>物联</w:t>
      </w:r>
      <w:r>
        <w:rPr>
          <w:rFonts w:hint="default" w:ascii="仿宋_GB2312" w:hAnsi="STFangsong" w:eastAsia="仿宋_GB2312" w:cs="Arial"/>
          <w:color w:val="000000"/>
          <w:kern w:val="0"/>
          <w:sz w:val="32"/>
          <w:szCs w:val="32"/>
          <w:lang w:val="en-US" w:eastAsia="zh-CN" w:bidi="ar-SA"/>
        </w:rPr>
        <w:t>，实施完善软件系统公共平台的管理，实现对企业的信息</w:t>
      </w:r>
      <w:r>
        <w:rPr>
          <w:rFonts w:hint="eastAsia" w:ascii="仿宋_GB2312" w:hAnsi="STFangsong" w:eastAsia="仿宋_GB2312" w:cs="Arial"/>
          <w:color w:val="000000"/>
          <w:kern w:val="0"/>
          <w:sz w:val="32"/>
          <w:szCs w:val="32"/>
          <w:lang w:val="en-US" w:eastAsia="zh-CN" w:bidi="ar-SA"/>
        </w:rPr>
        <w:t>智能</w:t>
      </w:r>
      <w:r>
        <w:rPr>
          <w:rFonts w:hint="default" w:ascii="仿宋_GB2312" w:hAnsi="STFangsong" w:eastAsia="仿宋_GB2312" w:cs="Arial"/>
          <w:color w:val="000000"/>
          <w:kern w:val="0"/>
          <w:sz w:val="32"/>
          <w:szCs w:val="32"/>
          <w:lang w:val="en-US" w:eastAsia="zh-CN" w:bidi="ar-SA"/>
        </w:rPr>
        <w:t>化管理，在采购平台中扩大配套份额，增加企业订单，既要紧跟市场的前沿，坚持发展高新技术产</w:t>
      </w:r>
      <w:r>
        <w:rPr>
          <w:rFonts w:hint="eastAsia" w:ascii="仿宋_GB2312" w:hAnsi="STFangsong" w:eastAsia="仿宋_GB2312" w:cs="Arial"/>
          <w:color w:val="000000"/>
          <w:kern w:val="0"/>
          <w:sz w:val="32"/>
          <w:szCs w:val="32"/>
          <w:lang w:val="en-US" w:eastAsia="zh-CN" w:bidi="ar-SA"/>
        </w:rPr>
        <w:t>品</w:t>
      </w:r>
      <w:r>
        <w:rPr>
          <w:rFonts w:hint="default" w:ascii="仿宋_GB2312" w:hAnsi="STFangsong" w:eastAsia="仿宋_GB2312" w:cs="Arial"/>
          <w:color w:val="000000"/>
          <w:kern w:val="0"/>
          <w:sz w:val="32"/>
          <w:szCs w:val="32"/>
          <w:lang w:val="en-US" w:eastAsia="zh-CN" w:bidi="ar-SA"/>
        </w:rPr>
        <w:t>与加快</w:t>
      </w:r>
      <w:r>
        <w:rPr>
          <w:rFonts w:hint="eastAsia" w:ascii="仿宋_GB2312" w:hAnsi="STFangsong" w:eastAsia="仿宋_GB2312" w:cs="Arial"/>
          <w:color w:val="000000"/>
          <w:kern w:val="0"/>
          <w:sz w:val="32"/>
          <w:szCs w:val="32"/>
          <w:lang w:val="en-US" w:eastAsia="zh-CN" w:bidi="ar-SA"/>
        </w:rPr>
        <w:t>形成</w:t>
      </w:r>
      <w:r>
        <w:rPr>
          <w:rFonts w:hint="default" w:ascii="仿宋_GB2312" w:hAnsi="STFangsong" w:eastAsia="仿宋_GB2312" w:cs="Arial"/>
          <w:color w:val="000000"/>
          <w:kern w:val="0"/>
          <w:sz w:val="32"/>
          <w:szCs w:val="32"/>
          <w:lang w:val="en-US" w:eastAsia="zh-CN" w:bidi="ar-SA"/>
        </w:rPr>
        <w:t>信息产业化</w:t>
      </w:r>
      <w:r>
        <w:rPr>
          <w:rFonts w:hint="eastAsia" w:ascii="仿宋_GB2312" w:hAnsi="STFangsong" w:eastAsia="仿宋_GB2312" w:cs="Arial"/>
          <w:color w:val="000000"/>
          <w:kern w:val="0"/>
          <w:sz w:val="32"/>
          <w:szCs w:val="32"/>
          <w:lang w:val="en-US" w:eastAsia="zh-CN" w:bidi="ar-SA"/>
        </w:rPr>
        <w:t>企业，</w:t>
      </w:r>
      <w:r>
        <w:rPr>
          <w:rFonts w:hint="default" w:ascii="仿宋_GB2312" w:hAnsi="STFangsong" w:eastAsia="仿宋_GB2312" w:cs="Arial"/>
          <w:color w:val="000000"/>
          <w:kern w:val="0"/>
          <w:sz w:val="32"/>
          <w:szCs w:val="32"/>
          <w:lang w:val="en-US" w:eastAsia="zh-CN" w:bidi="ar-SA"/>
        </w:rPr>
        <w:t>向现代化企业迈进。</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STFangsong" w:eastAsia="仿宋_GB2312" w:cs="Arial"/>
          <w:color w:val="000000"/>
          <w:kern w:val="0"/>
          <w:sz w:val="32"/>
          <w:szCs w:val="32"/>
          <w:lang w:val="en-US" w:eastAsia="zh-CN" w:bidi="ar-SA"/>
        </w:rPr>
      </w:pPr>
      <w:r>
        <w:rPr>
          <w:rFonts w:hint="eastAsia" w:ascii="仿宋_GB2312" w:hAnsi="STFangsong" w:eastAsia="仿宋_GB2312" w:cs="Arial"/>
          <w:color w:val="000000"/>
          <w:kern w:val="0"/>
          <w:sz w:val="32"/>
          <w:szCs w:val="32"/>
          <w:lang w:val="en-US" w:eastAsia="zh-CN" w:bidi="ar-SA"/>
        </w:rPr>
        <w:t>3、</w:t>
      </w:r>
      <w:r>
        <w:rPr>
          <w:rFonts w:hint="default" w:ascii="仿宋_GB2312" w:hAnsi="STFangsong" w:eastAsia="仿宋_GB2312" w:cs="Arial"/>
          <w:color w:val="000000"/>
          <w:kern w:val="0"/>
          <w:sz w:val="32"/>
          <w:szCs w:val="32"/>
          <w:lang w:val="en-US" w:eastAsia="zh-CN" w:bidi="ar-SA"/>
        </w:rPr>
        <w:t>进一步</w:t>
      </w:r>
      <w:r>
        <w:rPr>
          <w:rFonts w:hint="eastAsia" w:ascii="仿宋_GB2312" w:hAnsi="STFangsong" w:eastAsia="仿宋_GB2312" w:cs="Arial"/>
          <w:color w:val="000000"/>
          <w:kern w:val="0"/>
          <w:sz w:val="32"/>
          <w:szCs w:val="32"/>
          <w:lang w:val="en-US" w:eastAsia="zh-CN" w:bidi="ar-SA"/>
        </w:rPr>
        <w:t>完成</w:t>
      </w:r>
      <w:r>
        <w:rPr>
          <w:rFonts w:hint="default" w:ascii="仿宋_GB2312" w:hAnsi="STFangsong" w:eastAsia="仿宋_GB2312" w:cs="Arial"/>
          <w:color w:val="000000"/>
          <w:kern w:val="0"/>
          <w:sz w:val="32"/>
          <w:szCs w:val="32"/>
          <w:lang w:val="en-US" w:eastAsia="zh-CN" w:bidi="ar-SA"/>
        </w:rPr>
        <w:t>“产学研”合作</w:t>
      </w:r>
      <w:r>
        <w:rPr>
          <w:rFonts w:hint="eastAsia" w:ascii="仿宋_GB2312" w:hAnsi="STFangsong" w:eastAsia="仿宋_GB2312" w:cs="Arial"/>
          <w:color w:val="000000"/>
          <w:kern w:val="0"/>
          <w:sz w:val="32"/>
          <w:szCs w:val="32"/>
          <w:lang w:val="en-US" w:eastAsia="zh-CN" w:bidi="ar-SA"/>
        </w:rPr>
        <w:t>项目</w:t>
      </w:r>
      <w:r>
        <w:rPr>
          <w:rFonts w:hint="default" w:ascii="仿宋_GB2312" w:hAnsi="STFangsong" w:eastAsia="仿宋_GB2312" w:cs="Arial"/>
          <w:color w:val="000000"/>
          <w:kern w:val="0"/>
          <w:sz w:val="32"/>
          <w:szCs w:val="32"/>
          <w:lang w:val="en-US" w:eastAsia="zh-CN" w:bidi="ar-SA"/>
        </w:rPr>
        <w:t>，培育创新实用型人才</w:t>
      </w:r>
      <w:r>
        <w:rPr>
          <w:rFonts w:hint="eastAsia" w:ascii="仿宋_GB2312" w:hAnsi="STFangsong" w:eastAsia="仿宋_GB2312" w:cs="Arial"/>
          <w:color w:val="000000"/>
          <w:kern w:val="0"/>
          <w:sz w:val="32"/>
          <w:szCs w:val="32"/>
          <w:lang w:val="en-US" w:eastAsia="zh-CN" w:bidi="ar-SA"/>
        </w:rPr>
        <w:t>的培训目标</w:t>
      </w:r>
      <w:r>
        <w:rPr>
          <w:rFonts w:hint="default" w:ascii="仿宋_GB2312" w:hAnsi="STFangsong" w:eastAsia="仿宋_GB2312" w:cs="Arial"/>
          <w:color w:val="000000"/>
          <w:kern w:val="0"/>
          <w:sz w:val="32"/>
          <w:szCs w:val="32"/>
          <w:lang w:val="en-US" w:eastAsia="zh-CN" w:bidi="ar-SA"/>
        </w:rPr>
        <w:t>。</w:t>
      </w:r>
      <w:r>
        <w:rPr>
          <w:rFonts w:hint="eastAsia" w:ascii="仿宋_GB2312" w:hAnsi="STFangsong" w:eastAsia="仿宋_GB2312" w:cs="Arial"/>
          <w:color w:val="000000"/>
          <w:kern w:val="0"/>
          <w:sz w:val="32"/>
          <w:szCs w:val="32"/>
          <w:lang w:val="en-US" w:eastAsia="zh-CN" w:bidi="ar-SA"/>
        </w:rPr>
        <w:t>企业</w:t>
      </w:r>
      <w:r>
        <w:rPr>
          <w:rFonts w:hint="default" w:ascii="仿宋_GB2312" w:hAnsi="STFangsong" w:eastAsia="仿宋_GB2312" w:cs="Arial"/>
          <w:color w:val="000000"/>
          <w:kern w:val="0"/>
          <w:sz w:val="32"/>
          <w:szCs w:val="32"/>
          <w:lang w:val="en-US" w:eastAsia="zh-CN" w:bidi="ar-SA"/>
        </w:rPr>
        <w:t>与长春汽车工业高等专科学校</w:t>
      </w:r>
      <w:r>
        <w:rPr>
          <w:rFonts w:hint="eastAsia" w:ascii="仿宋_GB2312" w:hAnsi="STFangsong" w:eastAsia="仿宋_GB2312" w:cs="Arial"/>
          <w:color w:val="000000"/>
          <w:kern w:val="0"/>
          <w:sz w:val="32"/>
          <w:szCs w:val="32"/>
          <w:lang w:val="en-US" w:eastAsia="zh-CN" w:bidi="ar-SA"/>
        </w:rPr>
        <w:t>辽源工商学校</w:t>
      </w:r>
      <w:r>
        <w:rPr>
          <w:rFonts w:hint="default" w:ascii="仿宋_GB2312" w:hAnsi="STFangsong" w:eastAsia="仿宋_GB2312" w:cs="Arial"/>
          <w:color w:val="000000"/>
          <w:kern w:val="0"/>
          <w:sz w:val="32"/>
          <w:szCs w:val="32"/>
          <w:lang w:val="en-US" w:eastAsia="zh-CN" w:bidi="ar-SA"/>
        </w:rPr>
        <w:t>联合办学，建立了</w:t>
      </w:r>
      <w:r>
        <w:rPr>
          <w:rFonts w:hint="eastAsia" w:ascii="仿宋_GB2312" w:hAnsi="STFangsong" w:eastAsia="仿宋_GB2312" w:cs="Arial"/>
          <w:color w:val="000000"/>
          <w:kern w:val="0"/>
          <w:sz w:val="32"/>
          <w:szCs w:val="32"/>
          <w:lang w:val="en-US" w:eastAsia="zh-CN" w:bidi="ar-SA"/>
        </w:rPr>
        <w:t>“</w:t>
      </w:r>
      <w:r>
        <w:rPr>
          <w:rFonts w:hint="default" w:ascii="仿宋_GB2312" w:hAnsi="STFangsong" w:eastAsia="仿宋_GB2312" w:cs="Arial"/>
          <w:color w:val="000000"/>
          <w:kern w:val="0"/>
          <w:sz w:val="32"/>
          <w:szCs w:val="32"/>
          <w:lang w:val="en-US" w:eastAsia="zh-CN" w:bidi="ar-SA"/>
        </w:rPr>
        <w:t>辽源新龙中德（AHK）产学研创新制造实训基地</w:t>
      </w:r>
      <w:r>
        <w:rPr>
          <w:rFonts w:hint="eastAsia" w:ascii="仿宋_GB2312" w:hAnsi="STFangsong" w:eastAsia="仿宋_GB2312" w:cs="Arial"/>
          <w:color w:val="000000"/>
          <w:kern w:val="0"/>
          <w:sz w:val="32"/>
          <w:szCs w:val="32"/>
          <w:lang w:val="en-US" w:eastAsia="zh-CN" w:bidi="ar-SA"/>
        </w:rPr>
        <w:t>”</w:t>
      </w:r>
      <w:r>
        <w:rPr>
          <w:rFonts w:hint="default" w:ascii="仿宋_GB2312" w:hAnsi="STFangsong" w:eastAsia="仿宋_GB2312" w:cs="Arial"/>
          <w:color w:val="000000"/>
          <w:kern w:val="0"/>
          <w:sz w:val="32"/>
          <w:szCs w:val="32"/>
          <w:lang w:val="en-US" w:eastAsia="zh-CN" w:bidi="ar-SA"/>
        </w:rPr>
        <w:t>。</w:t>
      </w:r>
      <w:r>
        <w:rPr>
          <w:rFonts w:hint="eastAsia" w:ascii="仿宋_GB2312" w:hAnsi="STFangsong" w:eastAsia="仿宋_GB2312" w:cs="Arial"/>
          <w:color w:val="000000"/>
          <w:kern w:val="0"/>
          <w:sz w:val="32"/>
          <w:szCs w:val="32"/>
          <w:lang w:val="en-US" w:eastAsia="zh-CN" w:bidi="ar-SA"/>
        </w:rPr>
        <w:t>并</w:t>
      </w:r>
      <w:r>
        <w:rPr>
          <w:rFonts w:hint="default" w:ascii="仿宋_GB2312" w:hAnsi="STFangsong" w:eastAsia="仿宋_GB2312" w:cs="Arial"/>
          <w:color w:val="000000"/>
          <w:kern w:val="0"/>
          <w:sz w:val="32"/>
          <w:szCs w:val="32"/>
          <w:lang w:val="en-US" w:eastAsia="zh-CN" w:bidi="ar-SA"/>
        </w:rPr>
        <w:t>引进中德“双元制”</w:t>
      </w:r>
      <w:r>
        <w:rPr>
          <w:rFonts w:hint="eastAsia" w:ascii="仿宋_GB2312" w:hAnsi="STFangsong" w:eastAsia="仿宋_GB2312" w:cs="Arial"/>
          <w:color w:val="000000"/>
          <w:kern w:val="0"/>
          <w:sz w:val="32"/>
          <w:szCs w:val="32"/>
          <w:lang w:val="en-US" w:eastAsia="zh-CN" w:bidi="ar-SA"/>
        </w:rPr>
        <w:t>教育</w:t>
      </w:r>
      <w:r>
        <w:rPr>
          <w:rFonts w:hint="default" w:ascii="仿宋_GB2312" w:hAnsi="STFangsong" w:eastAsia="仿宋_GB2312" w:cs="Arial"/>
          <w:color w:val="000000"/>
          <w:kern w:val="0"/>
          <w:sz w:val="32"/>
          <w:szCs w:val="32"/>
          <w:lang w:val="en-US" w:eastAsia="zh-CN" w:bidi="ar-SA"/>
        </w:rPr>
        <w:t>实训模式，构造德式</w:t>
      </w:r>
      <w:r>
        <w:rPr>
          <w:rFonts w:hint="eastAsia" w:ascii="仿宋_GB2312" w:hAnsi="STFangsong" w:eastAsia="仿宋_GB2312" w:cs="Arial"/>
          <w:color w:val="000000"/>
          <w:kern w:val="0"/>
          <w:sz w:val="32"/>
          <w:szCs w:val="32"/>
          <w:lang w:val="en-US" w:eastAsia="zh-CN" w:bidi="ar-SA"/>
        </w:rPr>
        <w:t>标准的</w:t>
      </w:r>
      <w:r>
        <w:rPr>
          <w:rFonts w:hint="default" w:ascii="仿宋_GB2312" w:hAnsi="STFangsong" w:eastAsia="仿宋_GB2312" w:cs="Arial"/>
          <w:color w:val="000000"/>
          <w:kern w:val="0"/>
          <w:sz w:val="32"/>
          <w:szCs w:val="32"/>
          <w:lang w:val="en-US" w:eastAsia="zh-CN" w:bidi="ar-SA"/>
        </w:rPr>
        <w:t>智能实训工厂。坚持自主创新与产学研合作相结合的原则，体现</w:t>
      </w:r>
      <w:r>
        <w:rPr>
          <w:rFonts w:hint="eastAsia" w:ascii="仿宋_GB2312" w:hAnsi="STFangsong" w:eastAsia="仿宋_GB2312" w:cs="Arial"/>
          <w:color w:val="000000"/>
          <w:kern w:val="0"/>
          <w:sz w:val="32"/>
          <w:szCs w:val="32"/>
          <w:lang w:val="en-US" w:eastAsia="zh-CN" w:bidi="ar-SA"/>
        </w:rPr>
        <w:t>“</w:t>
      </w:r>
      <w:r>
        <w:rPr>
          <w:rFonts w:hint="default" w:ascii="仿宋_GB2312" w:hAnsi="STFangsong" w:eastAsia="仿宋_GB2312" w:cs="Arial"/>
          <w:color w:val="000000"/>
          <w:kern w:val="0"/>
          <w:sz w:val="32"/>
          <w:szCs w:val="32"/>
          <w:lang w:val="en-US" w:eastAsia="zh-CN" w:bidi="ar-SA"/>
        </w:rPr>
        <w:t>双主体一体化</w:t>
      </w:r>
      <w:r>
        <w:rPr>
          <w:rFonts w:hint="eastAsia" w:ascii="仿宋_GB2312" w:hAnsi="STFangsong" w:eastAsia="仿宋_GB2312" w:cs="Arial"/>
          <w:color w:val="000000"/>
          <w:kern w:val="0"/>
          <w:sz w:val="32"/>
          <w:szCs w:val="32"/>
          <w:lang w:val="en-US" w:eastAsia="zh-CN" w:bidi="ar-SA"/>
        </w:rPr>
        <w:t>”</w:t>
      </w:r>
      <w:r>
        <w:rPr>
          <w:rFonts w:hint="default" w:ascii="仿宋_GB2312" w:hAnsi="STFangsong" w:eastAsia="仿宋_GB2312" w:cs="Arial"/>
          <w:color w:val="000000"/>
          <w:kern w:val="0"/>
          <w:sz w:val="32"/>
          <w:szCs w:val="32"/>
          <w:lang w:val="en-US" w:eastAsia="zh-CN" w:bidi="ar-SA"/>
        </w:rPr>
        <w:t>创新</w:t>
      </w:r>
      <w:r>
        <w:rPr>
          <w:rFonts w:hint="eastAsia" w:ascii="仿宋_GB2312" w:hAnsi="STFangsong" w:eastAsia="仿宋_GB2312" w:cs="Arial"/>
          <w:color w:val="000000"/>
          <w:kern w:val="0"/>
          <w:sz w:val="32"/>
          <w:szCs w:val="32"/>
          <w:lang w:val="en-US" w:eastAsia="zh-CN" w:bidi="ar-SA"/>
        </w:rPr>
        <w:t>培训</w:t>
      </w:r>
      <w:r>
        <w:rPr>
          <w:rFonts w:hint="default" w:ascii="仿宋_GB2312" w:hAnsi="STFangsong" w:eastAsia="仿宋_GB2312" w:cs="Arial"/>
          <w:color w:val="000000"/>
          <w:kern w:val="0"/>
          <w:sz w:val="32"/>
          <w:szCs w:val="32"/>
          <w:lang w:val="en-US" w:eastAsia="zh-CN" w:bidi="ar-SA"/>
        </w:rPr>
        <w:t>模式</w:t>
      </w:r>
      <w:r>
        <w:rPr>
          <w:rFonts w:hint="eastAsia" w:ascii="仿宋_GB2312" w:hAnsi="STFangsong" w:eastAsia="仿宋_GB2312" w:cs="Arial"/>
          <w:color w:val="000000"/>
          <w:kern w:val="0"/>
          <w:sz w:val="32"/>
          <w:szCs w:val="32"/>
          <w:lang w:val="en-US" w:eastAsia="zh-CN" w:bidi="ar-SA"/>
        </w:rPr>
        <w:t>将</w:t>
      </w:r>
      <w:r>
        <w:rPr>
          <w:rFonts w:hint="default" w:ascii="仿宋_GB2312" w:hAnsi="STFangsong" w:eastAsia="仿宋_GB2312" w:cs="Arial"/>
          <w:color w:val="000000"/>
          <w:kern w:val="0"/>
          <w:sz w:val="32"/>
          <w:szCs w:val="32"/>
          <w:lang w:val="en-US" w:eastAsia="zh-CN" w:bidi="ar-SA"/>
        </w:rPr>
        <w:t>企业转型升级</w:t>
      </w:r>
      <w:r>
        <w:rPr>
          <w:rFonts w:hint="eastAsia" w:ascii="仿宋_GB2312" w:hAnsi="STFangsong" w:eastAsia="仿宋_GB2312" w:cs="Arial"/>
          <w:color w:val="000000"/>
          <w:kern w:val="0"/>
          <w:sz w:val="32"/>
          <w:szCs w:val="32"/>
          <w:lang w:val="en-US" w:eastAsia="zh-CN" w:bidi="ar-SA"/>
        </w:rPr>
        <w:t>为省级产教融合型企业，完成实训基地建设项目服务于社会经济建设。</w:t>
      </w:r>
    </w:p>
    <w:p>
      <w:pPr>
        <w:numPr>
          <w:ilvl w:val="0"/>
          <w:numId w:val="2"/>
        </w:numPr>
        <w:ind w:left="0" w:leftChars="0" w:firstLine="0" w:firstLineChars="0"/>
        <w:jc w:val="both"/>
        <w:rPr>
          <w:rFonts w:hint="eastAsia" w:ascii="黑体" w:hAnsi="黑体" w:eastAsia="黑体" w:cs="Arial"/>
          <w:color w:val="000000"/>
          <w:sz w:val="32"/>
          <w:szCs w:val="32"/>
        </w:rPr>
      </w:pPr>
      <w:r>
        <w:rPr>
          <w:rFonts w:hint="eastAsia" w:ascii="黑体" w:hAnsi="黑体" w:eastAsia="黑体" w:cs="Arial"/>
          <w:color w:val="000000"/>
          <w:sz w:val="32"/>
          <w:szCs w:val="32"/>
        </w:rPr>
        <w:t>建设思路</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STFangsong" w:eastAsia="仿宋_GB2312" w:cs="Arial"/>
          <w:color w:val="000000"/>
          <w:kern w:val="0"/>
          <w:sz w:val="32"/>
          <w:szCs w:val="32"/>
          <w:lang w:val="en-US" w:eastAsia="zh-CN" w:bidi="ar-SA"/>
        </w:rPr>
      </w:pPr>
      <w:r>
        <w:rPr>
          <w:rFonts w:hint="eastAsia" w:ascii="仿宋_GB2312" w:hAnsi="STFangsong" w:eastAsia="仿宋_GB2312" w:cs="Arial"/>
          <w:color w:val="000000"/>
          <w:kern w:val="0"/>
          <w:sz w:val="32"/>
          <w:szCs w:val="32"/>
          <w:lang w:val="en-US" w:eastAsia="zh-CN" w:bidi="ar-SA"/>
        </w:rPr>
        <w:t>建筑面积7023平方米，新增建筑面积1000平方米；引进德国设计信息化智能化生产实训基地，完成新产品开发设计，新能源汽车技术及新材料应用，质量检测、物流、财务管理软件系统，技术服务等。</w:t>
      </w:r>
    </w:p>
    <w:p>
      <w:pPr>
        <w:numPr>
          <w:ilvl w:val="0"/>
          <w:numId w:val="2"/>
        </w:numPr>
        <w:ind w:left="0" w:leftChars="0" w:firstLine="0" w:firstLineChars="0"/>
        <w:jc w:val="both"/>
        <w:rPr>
          <w:rFonts w:ascii="黑体" w:hAnsi="黑体" w:eastAsia="黑体" w:cs="Arial"/>
          <w:color w:val="000000"/>
          <w:sz w:val="32"/>
          <w:szCs w:val="32"/>
        </w:rPr>
      </w:pPr>
      <w:r>
        <w:rPr>
          <w:rFonts w:hint="eastAsia" w:ascii="黑体" w:hAnsi="黑体" w:eastAsia="黑体" w:cs="Arial"/>
          <w:color w:val="000000"/>
          <w:sz w:val="32"/>
          <w:szCs w:val="32"/>
        </w:rPr>
        <w:t>实施路径、</w:t>
      </w:r>
      <w:r>
        <w:rPr>
          <w:rFonts w:ascii="黑体" w:hAnsi="黑体" w:eastAsia="黑体" w:cs="Arial"/>
          <w:color w:val="000000"/>
          <w:sz w:val="32"/>
          <w:szCs w:val="32"/>
        </w:rPr>
        <w:t>方法</w:t>
      </w:r>
      <w:r>
        <w:rPr>
          <w:rFonts w:hint="eastAsia" w:ascii="黑体" w:hAnsi="黑体" w:eastAsia="黑体" w:cs="Arial"/>
          <w:color w:val="000000"/>
          <w:sz w:val="32"/>
          <w:szCs w:val="32"/>
        </w:rPr>
        <w:t>及举</w:t>
      </w:r>
      <w:r>
        <w:rPr>
          <w:rFonts w:ascii="黑体" w:hAnsi="黑体" w:eastAsia="黑体" w:cs="Arial"/>
          <w:color w:val="000000"/>
          <w:sz w:val="32"/>
          <w:szCs w:val="32"/>
        </w:rPr>
        <w:t>措等</w:t>
      </w:r>
    </w:p>
    <w:p>
      <w:pPr>
        <w:keepNext w:val="0"/>
        <w:keepLines w:val="0"/>
        <w:pageBreakBefore w:val="0"/>
        <w:widowControl/>
        <w:numPr>
          <w:numId w:val="0"/>
        </w:numPr>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STFangsong" w:eastAsia="仿宋_GB2312" w:cs="Arial"/>
          <w:color w:val="000000"/>
          <w:kern w:val="0"/>
          <w:sz w:val="32"/>
          <w:szCs w:val="32"/>
          <w:lang w:val="en-US" w:eastAsia="zh-CN" w:bidi="ar-SA"/>
        </w:rPr>
      </w:pPr>
      <w:r>
        <w:rPr>
          <w:rFonts w:hint="eastAsia" w:ascii="仿宋_GB2312" w:hAnsi="STFangsong" w:eastAsia="仿宋_GB2312" w:cs="Arial"/>
          <w:color w:val="000000"/>
          <w:kern w:val="0"/>
          <w:sz w:val="32"/>
          <w:szCs w:val="32"/>
          <w:lang w:val="en-US" w:eastAsia="zh-CN" w:bidi="ar-SA"/>
        </w:rPr>
        <w:t>通过与辽源市工商学校和长春汽车工业高等专科学校的校企合作，培养面向汽车、机械电子、电器、轻工、塑料等企业或行业，从事模具设计、数控加工、特种加工、模具制造工艺编制、塑料工艺等现场生产组织管理岗位的高素质技能型人才。公司本着“精准师带徒”方案，现有技术力量雄厚，具有高级、中级、初级工程师、工人技师等若干人，具有20多年生产操作经验一线技术骨干，为生产实习过程中承担现代学徒制提供技术力量支撑，在此基础上公司与德国中方总授权公司签定合作协议，引进德国先进的职教管理体系经验及国际先进的相关系列产品，积极参与“一带一路”国际合作项目，建立辽源新龙产学研创新制造实训基地。</w:t>
      </w:r>
    </w:p>
    <w:p>
      <w:pPr>
        <w:numPr>
          <w:ilvl w:val="0"/>
          <w:numId w:val="2"/>
        </w:numPr>
        <w:ind w:left="0" w:leftChars="0" w:firstLine="0" w:firstLineChars="0"/>
        <w:jc w:val="both"/>
        <w:rPr>
          <w:rFonts w:hint="eastAsia" w:ascii="黑体" w:hAnsi="黑体" w:eastAsia="黑体" w:cs="Arial"/>
          <w:color w:val="000000"/>
          <w:sz w:val="32"/>
          <w:szCs w:val="32"/>
        </w:rPr>
      </w:pPr>
      <w:r>
        <w:rPr>
          <w:rFonts w:hint="eastAsia" w:ascii="黑体" w:hAnsi="黑体" w:eastAsia="黑体" w:cs="Arial"/>
          <w:color w:val="000000"/>
          <w:sz w:val="32"/>
          <w:szCs w:val="32"/>
        </w:rPr>
        <w:t>项目研究成果概述</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Chars="0" w:firstLine="640" w:firstLineChars="200"/>
        <w:textAlignment w:val="auto"/>
        <w:outlineLvl w:val="9"/>
        <w:rPr>
          <w:rFonts w:hint="eastAsia" w:ascii="仿宋_GB2312" w:hAnsi="STFangsong" w:eastAsia="仿宋_GB2312" w:cs="Arial"/>
          <w:color w:val="000000"/>
          <w:kern w:val="0"/>
          <w:sz w:val="32"/>
          <w:szCs w:val="32"/>
          <w:lang w:val="en-US" w:eastAsia="zh-CN" w:bidi="ar-SA"/>
        </w:rPr>
      </w:pPr>
      <w:r>
        <w:rPr>
          <w:rFonts w:hint="eastAsia" w:ascii="仿宋_GB2312" w:hAnsi="STFangsong" w:eastAsia="仿宋_GB2312" w:cs="Arial"/>
          <w:color w:val="000000"/>
          <w:kern w:val="0"/>
          <w:sz w:val="32"/>
          <w:szCs w:val="32"/>
          <w:lang w:val="en-US" w:eastAsia="zh-CN" w:bidi="ar-SA"/>
        </w:rPr>
        <w:t>1、根据国家发改委、省政府有关文件精神，结合辽源市被国家列为“双元制”教育试点城市及创新链整合培育平台和设施的规定，以“先建后认”的原则建设专业性实训基地，公司在完成基本固定资产投入和建设的基础上，同辽源市工商学校签定“校企合作联合办学协议”。公司又同长春汽车高专学校签定合作，面向先进智能制业技术开展各种方式合作。直接参与学生（员）就业等方面达成一致，为新动能培育平台及设施，实现创新链整合的培训目标。</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Chars="0" w:firstLine="640" w:firstLineChars="200"/>
        <w:textAlignment w:val="auto"/>
        <w:outlineLvl w:val="9"/>
        <w:rPr>
          <w:rFonts w:hint="eastAsia" w:ascii="仿宋_GB2312" w:hAnsi="STFangsong" w:eastAsia="仿宋_GB2312" w:cs="Arial"/>
          <w:color w:val="000000"/>
          <w:kern w:val="0"/>
          <w:sz w:val="32"/>
          <w:szCs w:val="32"/>
          <w:lang w:val="en-US" w:eastAsia="zh-CN" w:bidi="ar-SA"/>
        </w:rPr>
      </w:pPr>
      <w:r>
        <w:rPr>
          <w:rFonts w:hint="eastAsia" w:ascii="仿宋_GB2312" w:hAnsi="STFangsong" w:eastAsia="仿宋_GB2312" w:cs="Arial"/>
          <w:color w:val="000000"/>
          <w:kern w:val="0"/>
          <w:sz w:val="32"/>
          <w:szCs w:val="32"/>
          <w:lang w:val="en-US" w:eastAsia="zh-CN" w:bidi="ar-SA"/>
        </w:rPr>
        <w:t>2、以企业为主体承办实训基地项目。属国家制定的单列新项目，省发改委对该项目已备案批复。下一步有关文件规定完善我公司“辽源新龙中德（AHK）创新制造实训基地”项目建设，研究确定出实训基地三年发展规划，加快项目推进落实。</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Chars="0" w:firstLine="640" w:firstLineChars="200"/>
        <w:textAlignment w:val="auto"/>
        <w:outlineLvl w:val="9"/>
        <w:rPr>
          <w:rFonts w:hint="eastAsia" w:ascii="仿宋_GB2312" w:hAnsi="STFangsong" w:eastAsia="仿宋_GB2312" w:cs="Arial"/>
          <w:color w:val="000000"/>
          <w:kern w:val="0"/>
          <w:sz w:val="32"/>
          <w:szCs w:val="32"/>
          <w:lang w:val="en-US" w:eastAsia="zh-CN" w:bidi="ar-SA"/>
        </w:rPr>
      </w:pPr>
      <w:r>
        <w:rPr>
          <w:rFonts w:hint="eastAsia" w:ascii="仿宋_GB2312" w:hAnsi="STFangsong" w:eastAsia="仿宋_GB2312" w:cs="Arial"/>
          <w:color w:val="000000"/>
          <w:kern w:val="0"/>
          <w:sz w:val="32"/>
          <w:szCs w:val="32"/>
          <w:lang w:val="en-US" w:eastAsia="zh-CN" w:bidi="ar-SA"/>
        </w:rPr>
        <w:t>3、项目已累计投资2600万元。同市工商学校、长春汽车高等专科学校签定合同，为引进德国先进的“双元制”教育经验，同德国中方总授权公司签定合作协议。备案、环评、能评手续已经办理完成。</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Chars="0" w:firstLine="640" w:firstLineChars="200"/>
        <w:textAlignment w:val="auto"/>
        <w:outlineLvl w:val="9"/>
        <w:rPr>
          <w:rFonts w:hint="eastAsia" w:ascii="仿宋_GB2312" w:hAnsi="STFangsong" w:eastAsia="仿宋_GB2312" w:cs="Arial"/>
          <w:color w:val="000000"/>
          <w:kern w:val="0"/>
          <w:sz w:val="32"/>
          <w:szCs w:val="32"/>
          <w:lang w:val="en-US" w:eastAsia="zh-CN" w:bidi="ar-SA"/>
        </w:rPr>
      </w:pPr>
      <w:r>
        <w:rPr>
          <w:rFonts w:hint="eastAsia" w:ascii="仿宋_GB2312" w:hAnsi="STFangsong" w:eastAsia="仿宋_GB2312" w:cs="Arial"/>
          <w:color w:val="000000"/>
          <w:kern w:val="0"/>
          <w:sz w:val="32"/>
          <w:szCs w:val="32"/>
          <w:lang w:val="en-US" w:eastAsia="zh-CN" w:bidi="ar-SA"/>
        </w:rPr>
        <w:t>4、2019年4月28日经市发改委立项省发改委备案批复。</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Chars="0" w:firstLine="640" w:firstLineChars="200"/>
        <w:textAlignment w:val="auto"/>
        <w:outlineLvl w:val="9"/>
        <w:rPr>
          <w:rFonts w:hint="eastAsia" w:ascii="仿宋_GB2312" w:hAnsi="STFangsong" w:eastAsia="仿宋_GB2312" w:cs="Arial"/>
          <w:color w:val="000000"/>
          <w:kern w:val="0"/>
          <w:sz w:val="32"/>
          <w:szCs w:val="32"/>
          <w:lang w:val="en-US" w:eastAsia="zh-CN" w:bidi="ar-SA"/>
        </w:rPr>
      </w:pPr>
      <w:r>
        <w:rPr>
          <w:rFonts w:hint="eastAsia" w:ascii="仿宋_GB2312" w:hAnsi="STFangsong" w:eastAsia="仿宋_GB2312" w:cs="Arial"/>
          <w:color w:val="000000"/>
          <w:kern w:val="0"/>
          <w:sz w:val="32"/>
          <w:szCs w:val="32"/>
          <w:lang w:val="en-US" w:eastAsia="zh-CN" w:bidi="ar-SA"/>
        </w:rPr>
        <w:t>5、公司现已被列为吉林省产教融合型试点企业，入库编号为：JL0007。</w:t>
      </w:r>
    </w:p>
    <w:p>
      <w:pPr>
        <w:jc w:val="both"/>
        <w:rPr>
          <w:rFonts w:ascii="黑体" w:hAnsi="黑体" w:eastAsia="黑体" w:cs="Arial"/>
          <w:color w:val="000000"/>
          <w:sz w:val="32"/>
          <w:szCs w:val="32"/>
        </w:rPr>
      </w:pPr>
      <w:r>
        <w:rPr>
          <w:rFonts w:hint="eastAsia" w:ascii="黑体" w:hAnsi="黑体" w:eastAsia="黑体" w:cs="Arial"/>
          <w:color w:val="000000"/>
          <w:sz w:val="32"/>
          <w:szCs w:val="32"/>
        </w:rPr>
        <w:t>（五）项目亮点、</w:t>
      </w:r>
      <w:r>
        <w:rPr>
          <w:rFonts w:ascii="黑体" w:hAnsi="黑体" w:eastAsia="黑体" w:cs="Arial"/>
          <w:color w:val="000000"/>
          <w:sz w:val="32"/>
          <w:szCs w:val="32"/>
        </w:rPr>
        <w:t>创新点</w:t>
      </w:r>
    </w:p>
    <w:p>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ascii="仿宋_GB2312" w:hAnsi="Times" w:eastAsia="仿宋_GB2312"/>
          <w:sz w:val="32"/>
          <w:szCs w:val="32"/>
        </w:rPr>
      </w:pPr>
      <w:r>
        <w:rPr>
          <w:rFonts w:hint="eastAsia" w:ascii="仿宋_GB2312" w:hAnsi="STFangsong" w:eastAsia="仿宋_GB2312" w:cs="Arial"/>
          <w:color w:val="000000"/>
          <w:kern w:val="0"/>
          <w:sz w:val="32"/>
          <w:szCs w:val="32"/>
          <w:lang w:val="en-US" w:eastAsia="zh-CN" w:bidi="ar-SA"/>
        </w:rPr>
        <w:t>借鉴德国先进的职教管理体系及设计理念、工作流程、项目规划、生产工艺、技术培训标准、课程设计等标准。打造专业技术研发创造创新中心，专业性的试验检测中心。通过设计构造德国式智能工厂的实训基地教育模式，共同构建教学生产型实训工厂，让学生（员）生产车间实训操作无缝对接，全面了解企业生产过程、质量控制过程、包装物流过程，达到边生产、边实训、边走向市场、边创造效益，</w:t>
      </w:r>
      <w:r>
        <w:rPr>
          <w:rFonts w:hint="eastAsia" w:ascii="仿宋_GB2312" w:hAnsi="STFangsong" w:eastAsia="仿宋_GB2312" w:cs="Arial"/>
          <w:color w:val="000000"/>
          <w:kern w:val="0"/>
          <w:sz w:val="32"/>
          <w:szCs w:val="32"/>
          <w:lang w:val="en-US" w:eastAsia="zh-CN" w:bidi="ar-SA"/>
        </w:rPr>
        <w:t>结合行业的特点按定单式培养模式，采取1+X证书考核定级制度，达到就业顶岗标准。同时让学员参加德国标准AHK考核证书定级，合格后参与国内、外和“一带一路”国际实用型人才就业上岗需求合作，探索创新实训基地供给侧改革运营管理模式，</w:t>
      </w:r>
      <w:r>
        <w:rPr>
          <w:rFonts w:hint="eastAsia" w:ascii="仿宋_GB2312" w:hAnsi="STFangsong" w:eastAsia="仿宋_GB2312" w:cs="Arial"/>
          <w:color w:val="000000"/>
          <w:kern w:val="0"/>
          <w:sz w:val="32"/>
          <w:szCs w:val="32"/>
          <w:lang w:val="en-US" w:eastAsia="zh-CN" w:bidi="ar-SA"/>
        </w:rPr>
        <w:t>最终达到实训产品件符合IATF/16949国际质量体系标准。</w:t>
      </w:r>
      <w:r>
        <w:rPr>
          <w:rFonts w:hint="eastAsia" w:ascii="仿宋_GB2312" w:hAnsi="Times" w:eastAsia="仿宋_GB2312"/>
          <w:sz w:val="32"/>
          <w:szCs w:val="32"/>
        </w:rPr>
        <w:t xml:space="preserve"> </w:t>
      </w:r>
    </w:p>
    <w:p>
      <w:pPr>
        <w:jc w:val="both"/>
        <w:rPr>
          <w:rFonts w:ascii="黑体" w:hAnsi="黑体" w:eastAsia="黑体"/>
          <w:sz w:val="32"/>
          <w:szCs w:val="32"/>
        </w:rPr>
      </w:pPr>
      <w:r>
        <w:rPr>
          <w:rFonts w:hint="eastAsia" w:ascii="黑体" w:hAnsi="黑体" w:eastAsia="黑体" w:cs="Arial"/>
          <w:color w:val="000000"/>
          <w:sz w:val="32"/>
          <w:szCs w:val="32"/>
        </w:rPr>
        <w:t>二、参与人员及分工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0" w:firstLineChars="200"/>
        <w:textAlignment w:val="auto"/>
        <w:rPr>
          <w:rFonts w:hint="eastAsia" w:ascii="仿宋_GB2312" w:hAnsi="STFangsong" w:eastAsia="仿宋_GB2312" w:cs="Arial"/>
          <w:color w:val="000000"/>
          <w:sz w:val="32"/>
          <w:szCs w:val="32"/>
          <w:lang w:val="en-US" w:eastAsia="zh-CN"/>
        </w:rPr>
      </w:pPr>
      <w:r>
        <w:rPr>
          <w:rFonts w:hint="eastAsia" w:ascii="仿宋_GB2312" w:hAnsi="STFangsong" w:eastAsia="仿宋_GB2312" w:cs="Arial"/>
          <w:color w:val="000000"/>
          <w:sz w:val="32"/>
          <w:szCs w:val="32"/>
          <w:lang w:val="en-US" w:eastAsia="zh-CN"/>
        </w:rPr>
        <w:t>董事长：石笙良。总经理：李国祥。副经理：孙世荣，副经理：侯凤民。机械制图，韩顺义，(工程师)。公差配合和测量技术，徐广义，(高级工师)。电工基础，李明智，(高级技师)。专业导论韩顺义。高级技师：李明智，韩辅中，朱砂剑，范井余，丁智，杨永生，康少辉，张凤文，周绍华，李斌，丁照民。技师：朱晓东，贾奎。高级工程师：石笙良，刘继彦。</w:t>
      </w:r>
    </w:p>
    <w:p>
      <w:pPr>
        <w:jc w:val="both"/>
        <w:rPr>
          <w:rFonts w:ascii="黑体" w:hAnsi="黑体" w:eastAsia="黑体" w:cs="Arial"/>
          <w:color w:val="000000"/>
          <w:sz w:val="32"/>
          <w:szCs w:val="32"/>
        </w:rPr>
      </w:pPr>
      <w:r>
        <w:rPr>
          <w:rFonts w:hint="eastAsia" w:ascii="黑体" w:hAnsi="黑体" w:eastAsia="黑体" w:cs="Arial"/>
          <w:color w:val="000000"/>
          <w:sz w:val="32"/>
          <w:szCs w:val="32"/>
        </w:rPr>
        <w:t>三、原定计划与实际成果</w:t>
      </w:r>
    </w:p>
    <w:tbl>
      <w:tblPr>
        <w:tblStyle w:val="5"/>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9"/>
        <w:gridCol w:w="2170"/>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9" w:type="dxa"/>
            <w:tcBorders>
              <w:top w:val="single" w:color="auto" w:sz="4" w:space="0"/>
              <w:left w:val="single" w:color="auto" w:sz="4" w:space="0"/>
              <w:bottom w:val="single" w:color="auto" w:sz="4" w:space="0"/>
              <w:right w:val="single" w:color="auto" w:sz="4" w:space="0"/>
            </w:tcBorders>
          </w:tcPr>
          <w:p>
            <w:pPr>
              <w:jc w:val="center"/>
              <w:rPr>
                <w:rFonts w:ascii="仿宋_GB2312" w:hAnsi="Times" w:eastAsia="仿宋_GB2312"/>
                <w:sz w:val="32"/>
                <w:szCs w:val="32"/>
              </w:rPr>
            </w:pPr>
            <w:r>
              <w:rPr>
                <w:rFonts w:hint="eastAsia" w:ascii="仿宋_GB2312" w:hAnsi="Arial" w:eastAsia="仿宋_GB2312" w:cs="Arial"/>
                <w:color w:val="000000"/>
                <w:sz w:val="32"/>
                <w:szCs w:val="32"/>
              </w:rPr>
              <w:t>原定计划任务</w:t>
            </w:r>
          </w:p>
        </w:tc>
        <w:tc>
          <w:tcPr>
            <w:tcW w:w="2170" w:type="dxa"/>
            <w:tcBorders>
              <w:top w:val="single" w:color="auto" w:sz="4" w:space="0"/>
              <w:left w:val="nil"/>
              <w:bottom w:val="single" w:color="auto" w:sz="4" w:space="0"/>
              <w:right w:val="single" w:color="auto" w:sz="4" w:space="0"/>
            </w:tcBorders>
          </w:tcPr>
          <w:p>
            <w:pPr>
              <w:jc w:val="center"/>
              <w:rPr>
                <w:rFonts w:ascii="仿宋_GB2312" w:hAnsi="Times" w:eastAsia="仿宋_GB2312"/>
                <w:sz w:val="32"/>
                <w:szCs w:val="32"/>
              </w:rPr>
            </w:pPr>
            <w:r>
              <w:rPr>
                <w:rFonts w:hint="eastAsia" w:ascii="仿宋_GB2312" w:hAnsi="Arial" w:eastAsia="仿宋_GB2312" w:cs="Arial"/>
                <w:color w:val="000000"/>
                <w:sz w:val="32"/>
                <w:szCs w:val="32"/>
              </w:rPr>
              <w:t>完成情况</w:t>
            </w:r>
          </w:p>
        </w:tc>
        <w:tc>
          <w:tcPr>
            <w:tcW w:w="3799" w:type="dxa"/>
            <w:tcBorders>
              <w:top w:val="single" w:color="auto" w:sz="4" w:space="0"/>
              <w:left w:val="nil"/>
              <w:bottom w:val="single" w:color="auto" w:sz="4" w:space="0"/>
              <w:right w:val="single" w:color="auto" w:sz="4" w:space="0"/>
            </w:tcBorders>
          </w:tcPr>
          <w:p>
            <w:pPr>
              <w:jc w:val="center"/>
              <w:rPr>
                <w:rFonts w:ascii="仿宋_GB2312" w:hAnsi="Times" w:eastAsia="仿宋_GB2312"/>
                <w:sz w:val="32"/>
                <w:szCs w:val="32"/>
              </w:rPr>
            </w:pPr>
            <w:r>
              <w:rPr>
                <w:rFonts w:hint="eastAsia" w:ascii="仿宋_GB2312" w:hAnsi="Arial" w:eastAsia="仿宋_GB2312" w:cs="Arial"/>
                <w:color w:val="000000"/>
                <w:sz w:val="32"/>
                <w:szCs w:val="32"/>
              </w:rPr>
              <w:t>主要成果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0" w:hRule="atLeast"/>
          <w:jc w:val="center"/>
        </w:trPr>
        <w:tc>
          <w:tcPr>
            <w:tcW w:w="3349" w:type="dxa"/>
            <w:tcBorders>
              <w:top w:val="single" w:color="auto" w:sz="4" w:space="0"/>
              <w:left w:val="single" w:color="auto" w:sz="4" w:space="0"/>
              <w:right w:val="single" w:color="auto" w:sz="4" w:space="0"/>
            </w:tcBorders>
          </w:tcPr>
          <w:p>
            <w:pPr>
              <w:pStyle w:val="13"/>
              <w:keepNext w:val="0"/>
              <w:keepLines w:val="0"/>
              <w:pageBreakBefore w:val="0"/>
              <w:widowControl w:val="0"/>
              <w:numPr>
                <w:ilvl w:val="0"/>
                <w:numId w:val="0"/>
              </w:numPr>
              <w:kinsoku/>
              <w:wordWrap/>
              <w:overflowPunct/>
              <w:topLinePunct w:val="0"/>
              <w:autoSpaceDE/>
              <w:autoSpaceDN/>
              <w:bidi w:val="0"/>
              <w:adjustRightInd/>
              <w:snapToGrid w:val="0"/>
              <w:spacing w:line="360" w:lineRule="exact"/>
              <w:textAlignment w:val="auto"/>
              <w:outlineLvl w:val="9"/>
              <w:rPr>
                <w:rFonts w:ascii="仿宋_GB2312" w:hAnsi="Times" w:eastAsia="仿宋_GB2312"/>
                <w:sz w:val="24"/>
                <w:szCs w:val="24"/>
              </w:rPr>
            </w:pPr>
            <w:r>
              <w:rPr>
                <w:rFonts w:hint="eastAsia" w:ascii="仿宋" w:hAnsi="仿宋" w:eastAsia="仿宋" w:cs="仿宋"/>
                <w:sz w:val="24"/>
                <w:szCs w:val="24"/>
                <w:lang w:val="en-US" w:eastAsia="zh-CN"/>
              </w:rPr>
              <w:t>通过实际操作课设置，根据教学大纲，文化课，专业基础课的方案，实现3+2教学培训模式，对符合条件的学生进行两年高职大专学历的提升，经考核取得（中专）大专文凭的同时，采取1+X证书考核制度，取得大专文凭。</w:t>
            </w:r>
          </w:p>
        </w:tc>
        <w:tc>
          <w:tcPr>
            <w:tcW w:w="2170" w:type="dxa"/>
            <w:tcBorders>
              <w:top w:val="single" w:color="auto" w:sz="4" w:space="0"/>
              <w:left w:val="nil"/>
              <w:right w:val="single" w:color="auto" w:sz="4" w:space="0"/>
            </w:tcBorders>
          </w:tcPr>
          <w:p>
            <w:pPr>
              <w:pStyle w:val="13"/>
              <w:keepNext w:val="0"/>
              <w:keepLines w:val="0"/>
              <w:pageBreakBefore w:val="0"/>
              <w:widowControl w:val="0"/>
              <w:numPr>
                <w:ilvl w:val="0"/>
                <w:numId w:val="0"/>
              </w:numPr>
              <w:kinsoku/>
              <w:wordWrap/>
              <w:overflowPunct/>
              <w:topLinePunct w:val="0"/>
              <w:autoSpaceDE/>
              <w:autoSpaceDN/>
              <w:bidi w:val="0"/>
              <w:adjustRightInd/>
              <w:snapToGrid w:val="0"/>
              <w:spacing w:line="360" w:lineRule="exac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市工商学校18年招收35名，待今年上岗实习。19年招收35名。高职扩招招收128名。</w:t>
            </w:r>
          </w:p>
          <w:p>
            <w:pPr>
              <w:jc w:val="both"/>
              <w:rPr>
                <w:rFonts w:hint="default" w:ascii="仿宋_GB2312" w:hAnsi="Times" w:eastAsia="仿宋_GB2312"/>
                <w:sz w:val="24"/>
                <w:szCs w:val="24"/>
                <w:lang w:val="en-US" w:eastAsia="zh-CN"/>
              </w:rPr>
            </w:pPr>
          </w:p>
        </w:tc>
        <w:tc>
          <w:tcPr>
            <w:tcW w:w="3799" w:type="dxa"/>
            <w:tcBorders>
              <w:top w:val="single" w:color="auto" w:sz="4" w:space="0"/>
              <w:left w:val="nil"/>
              <w:bottom w:val="single" w:color="auto" w:sz="4" w:space="0"/>
              <w:right w:val="single" w:color="auto" w:sz="4" w:space="0"/>
            </w:tcBorders>
          </w:tcPr>
          <w:p>
            <w:pPr>
              <w:pStyle w:val="13"/>
              <w:keepNext w:val="0"/>
              <w:keepLines w:val="0"/>
              <w:pageBreakBefore w:val="0"/>
              <w:widowControl w:val="0"/>
              <w:numPr>
                <w:ilvl w:val="0"/>
                <w:numId w:val="0"/>
              </w:numPr>
              <w:kinsoku/>
              <w:wordWrap/>
              <w:overflowPunct/>
              <w:topLinePunct w:val="0"/>
              <w:autoSpaceDE/>
              <w:autoSpaceDN/>
              <w:bidi w:val="0"/>
              <w:adjustRightInd/>
              <w:snapToGrid w:val="0"/>
              <w:spacing w:line="360" w:lineRule="exact"/>
              <w:textAlignment w:val="auto"/>
              <w:outlineLvl w:val="9"/>
              <w:rPr>
                <w:rFonts w:ascii="仿宋_GB2312" w:hAnsi="Times" w:eastAsia="仿宋_GB2312"/>
                <w:sz w:val="24"/>
                <w:szCs w:val="24"/>
              </w:rPr>
            </w:pPr>
            <w:r>
              <w:rPr>
                <w:rFonts w:hint="eastAsia" w:ascii="仿宋" w:hAnsi="仿宋" w:eastAsia="仿宋" w:cs="仿宋"/>
                <w:sz w:val="24"/>
                <w:szCs w:val="24"/>
                <w:lang w:val="en-US" w:eastAsia="zh-CN"/>
              </w:rPr>
              <w:t>被列为省科技小巨人企业、产教融合型企业。学员待毕业后满足社会技能型人才的需要。通过参与国内、外和“一带一路”国际合作，让学员取得AHK考核证书，直接顶岗就业，满足社会适用性技能人才需求，探索创新实训基地供给侧运营管理模式。</w:t>
            </w:r>
          </w:p>
        </w:tc>
      </w:tr>
    </w:tbl>
    <w:p>
      <w:pPr>
        <w:rPr>
          <w:rFonts w:ascii="黑体" w:hAnsi="黑体" w:eastAsia="黑体"/>
          <w:sz w:val="32"/>
          <w:szCs w:val="32"/>
        </w:rPr>
      </w:pPr>
      <w:r>
        <w:rPr>
          <w:rFonts w:hint="eastAsia" w:ascii="仿宋_GB2312" w:hAnsi="Times" w:eastAsia="仿宋_GB2312"/>
          <w:sz w:val="32"/>
          <w:szCs w:val="32"/>
        </w:rPr>
        <w:t xml:space="preserve"> </w:t>
      </w:r>
      <w:r>
        <w:rPr>
          <w:rFonts w:hint="eastAsia" w:ascii="黑体" w:hAnsi="黑体" w:eastAsia="黑体" w:cs="Arial"/>
          <w:color w:val="000000"/>
          <w:sz w:val="32"/>
          <w:szCs w:val="32"/>
        </w:rPr>
        <w:t>四、经费预算及实际使用情况（单位：人民币</w:t>
      </w:r>
      <w:r>
        <w:rPr>
          <w:rFonts w:hint="eastAsia" w:ascii="黑体" w:hAnsi="黑体" w:eastAsia="黑体" w:cs="Arial"/>
          <w:color w:val="000000"/>
          <w:sz w:val="32"/>
          <w:szCs w:val="32"/>
          <w:lang w:eastAsia="zh-CN"/>
        </w:rPr>
        <w:t>万</w:t>
      </w:r>
      <w:r>
        <w:rPr>
          <w:rFonts w:hint="eastAsia" w:ascii="黑体" w:hAnsi="黑体" w:eastAsia="黑体" w:cs="Arial"/>
          <w:color w:val="000000"/>
          <w:sz w:val="32"/>
          <w:szCs w:val="32"/>
        </w:rPr>
        <w:t>元）</w:t>
      </w:r>
    </w:p>
    <w:tbl>
      <w:tblPr>
        <w:tblStyle w:val="4"/>
        <w:tblW w:w="8666" w:type="dxa"/>
        <w:jc w:val="center"/>
        <w:tblLayout w:type="fixed"/>
        <w:tblCellMar>
          <w:top w:w="15" w:type="dxa"/>
          <w:left w:w="15" w:type="dxa"/>
          <w:bottom w:w="15" w:type="dxa"/>
          <w:right w:w="15" w:type="dxa"/>
        </w:tblCellMar>
      </w:tblPr>
      <w:tblGrid>
        <w:gridCol w:w="1546"/>
        <w:gridCol w:w="1304"/>
        <w:gridCol w:w="4558"/>
        <w:gridCol w:w="1258"/>
      </w:tblGrid>
      <w:tr>
        <w:tblPrEx>
          <w:tblCellMar>
            <w:top w:w="15" w:type="dxa"/>
            <w:left w:w="15" w:type="dxa"/>
            <w:bottom w:w="15" w:type="dxa"/>
            <w:right w:w="15" w:type="dxa"/>
          </w:tblCellMar>
        </w:tblPrEx>
        <w:trPr>
          <w:jc w:val="center"/>
        </w:trPr>
        <w:tc>
          <w:tcPr>
            <w:tcW w:w="1546"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pPr>
              <w:jc w:val="center"/>
              <w:rPr>
                <w:rFonts w:ascii="仿宋_GB2312" w:hAnsi="Times" w:eastAsia="仿宋_GB2312"/>
                <w:sz w:val="32"/>
                <w:szCs w:val="32"/>
              </w:rPr>
            </w:pPr>
          </w:p>
        </w:tc>
        <w:tc>
          <w:tcPr>
            <w:tcW w:w="1304"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pPr>
              <w:spacing w:line="0" w:lineRule="atLeast"/>
              <w:jc w:val="center"/>
              <w:rPr>
                <w:rFonts w:ascii="仿宋_GB2312" w:hAnsi="Times" w:eastAsia="仿宋_GB2312"/>
                <w:sz w:val="32"/>
                <w:szCs w:val="32"/>
              </w:rPr>
            </w:pPr>
            <w:r>
              <w:rPr>
                <w:rFonts w:hint="eastAsia" w:ascii="仿宋_GB2312" w:hAnsi="Arial" w:eastAsia="仿宋_GB2312" w:cs="Arial"/>
                <w:color w:val="000000"/>
                <w:sz w:val="32"/>
                <w:szCs w:val="32"/>
              </w:rPr>
              <w:t>预算</w:t>
            </w:r>
          </w:p>
        </w:tc>
        <w:tc>
          <w:tcPr>
            <w:tcW w:w="4558"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pPr>
              <w:spacing w:line="0" w:lineRule="atLeast"/>
              <w:jc w:val="center"/>
              <w:rPr>
                <w:rFonts w:ascii="仿宋_GB2312" w:hAnsi="Times" w:eastAsia="仿宋_GB2312"/>
                <w:sz w:val="32"/>
                <w:szCs w:val="32"/>
              </w:rPr>
            </w:pPr>
            <w:r>
              <w:rPr>
                <w:rFonts w:hint="eastAsia" w:ascii="仿宋_GB2312" w:hAnsi="Arial" w:eastAsia="仿宋_GB2312" w:cs="Arial"/>
                <w:color w:val="000000"/>
                <w:sz w:val="32"/>
                <w:szCs w:val="32"/>
              </w:rPr>
              <w:t>实际支出</w:t>
            </w:r>
          </w:p>
        </w:tc>
        <w:tc>
          <w:tcPr>
            <w:tcW w:w="1258"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pPr>
              <w:spacing w:line="0" w:lineRule="atLeast"/>
              <w:jc w:val="center"/>
              <w:rPr>
                <w:rFonts w:ascii="仿宋_GB2312" w:hAnsi="Times" w:eastAsia="仿宋_GB2312"/>
                <w:sz w:val="32"/>
                <w:szCs w:val="32"/>
              </w:rPr>
            </w:pPr>
            <w:r>
              <w:rPr>
                <w:rFonts w:hint="eastAsia" w:ascii="仿宋_GB2312" w:hAnsi="Arial" w:eastAsia="仿宋_GB2312" w:cs="Arial"/>
                <w:color w:val="000000"/>
                <w:sz w:val="32"/>
                <w:szCs w:val="32"/>
              </w:rPr>
              <w:t>备注</w:t>
            </w:r>
          </w:p>
        </w:tc>
      </w:tr>
      <w:tr>
        <w:tblPrEx>
          <w:tblCellMar>
            <w:top w:w="15" w:type="dxa"/>
            <w:left w:w="15" w:type="dxa"/>
            <w:bottom w:w="15" w:type="dxa"/>
            <w:right w:w="15" w:type="dxa"/>
          </w:tblCellMar>
        </w:tblPrEx>
        <w:trPr>
          <w:trHeight w:val="480" w:hRule="atLeast"/>
          <w:jc w:val="center"/>
        </w:trPr>
        <w:tc>
          <w:tcPr>
            <w:tcW w:w="1546" w:type="dxa"/>
            <w:vMerge w:val="restart"/>
            <w:tcBorders>
              <w:top w:val="nil"/>
              <w:left w:val="single" w:color="000000" w:sz="8" w:space="0"/>
              <w:right w:val="single" w:color="000000" w:sz="8" w:space="0"/>
            </w:tcBorders>
            <w:tcMar>
              <w:top w:w="100" w:type="dxa"/>
              <w:left w:w="100" w:type="dxa"/>
              <w:bottom w:w="100" w:type="dxa"/>
              <w:right w:w="100" w:type="dxa"/>
            </w:tcMar>
          </w:tcPr>
          <w:p>
            <w:pPr>
              <w:spacing w:after="240"/>
              <w:jc w:val="center"/>
              <w:rPr>
                <w:rFonts w:ascii="仿宋_GB2312" w:hAnsi="Times" w:eastAsia="仿宋_GB2312"/>
                <w:sz w:val="32"/>
                <w:szCs w:val="32"/>
              </w:rPr>
            </w:pPr>
          </w:p>
          <w:p>
            <w:pPr>
              <w:jc w:val="center"/>
              <w:rPr>
                <w:rFonts w:ascii="仿宋_GB2312" w:hAnsi="Times" w:eastAsia="仿宋_GB2312"/>
                <w:sz w:val="32"/>
                <w:szCs w:val="32"/>
              </w:rPr>
            </w:pPr>
            <w:r>
              <w:rPr>
                <w:rFonts w:hint="eastAsia" w:ascii="仿宋_GB2312" w:hAnsi="Arial" w:eastAsia="仿宋_GB2312" w:cs="Arial"/>
                <w:color w:val="000000"/>
                <w:sz w:val="32"/>
                <w:szCs w:val="32"/>
              </w:rPr>
              <w:t>分项</w:t>
            </w:r>
          </w:p>
        </w:tc>
        <w:tc>
          <w:tcPr>
            <w:tcW w:w="1304"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pPr>
              <w:jc w:val="center"/>
              <w:rPr>
                <w:rFonts w:hint="default" w:ascii="仿宋_GB2312" w:hAnsi="Times" w:eastAsia="仿宋_GB2312"/>
                <w:sz w:val="24"/>
                <w:szCs w:val="24"/>
                <w:lang w:val="en-US" w:eastAsia="zh-CN"/>
              </w:rPr>
            </w:pPr>
            <w:r>
              <w:rPr>
                <w:rFonts w:hint="eastAsia" w:ascii="仿宋_GB2312" w:hAnsi="Times" w:eastAsia="仿宋_GB2312"/>
                <w:sz w:val="24"/>
                <w:szCs w:val="24"/>
                <w:lang w:val="en-US" w:eastAsia="zh-CN"/>
              </w:rPr>
              <w:t>3000</w:t>
            </w:r>
          </w:p>
        </w:tc>
        <w:tc>
          <w:tcPr>
            <w:tcW w:w="4558"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pPr>
              <w:jc w:val="center"/>
              <w:rPr>
                <w:rFonts w:hint="default" w:ascii="仿宋_GB2312" w:hAnsi="Times" w:eastAsia="仿宋_GB2312"/>
                <w:sz w:val="24"/>
                <w:szCs w:val="24"/>
                <w:lang w:val="en-US" w:eastAsia="zh-CN"/>
              </w:rPr>
            </w:pPr>
            <w:r>
              <w:rPr>
                <w:rFonts w:hint="eastAsia" w:ascii="仿宋_GB2312" w:hAnsi="Times" w:eastAsia="仿宋_GB2312"/>
                <w:sz w:val="24"/>
                <w:szCs w:val="24"/>
                <w:lang w:val="en-US" w:eastAsia="zh-CN"/>
              </w:rPr>
              <w:t>3000</w:t>
            </w:r>
          </w:p>
        </w:tc>
        <w:tc>
          <w:tcPr>
            <w:tcW w:w="1258"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pPr>
              <w:jc w:val="center"/>
              <w:rPr>
                <w:rFonts w:ascii="仿宋_GB2312" w:hAnsi="Times" w:eastAsia="仿宋_GB2312"/>
                <w:sz w:val="24"/>
                <w:szCs w:val="24"/>
              </w:rPr>
            </w:pPr>
            <w:r>
              <w:rPr>
                <w:rFonts w:hint="eastAsia" w:ascii="仿宋_GB2312" w:hAnsi="Times" w:eastAsia="仿宋_GB2312"/>
                <w:sz w:val="24"/>
                <w:szCs w:val="24"/>
                <w:lang w:eastAsia="zh-CN"/>
              </w:rPr>
              <w:t>一期工程</w:t>
            </w:r>
          </w:p>
        </w:tc>
      </w:tr>
      <w:tr>
        <w:tblPrEx>
          <w:tblCellMar>
            <w:top w:w="15" w:type="dxa"/>
            <w:left w:w="15" w:type="dxa"/>
            <w:bottom w:w="15" w:type="dxa"/>
            <w:right w:w="15" w:type="dxa"/>
          </w:tblCellMar>
        </w:tblPrEx>
        <w:trPr>
          <w:trHeight w:val="480" w:hRule="atLeast"/>
          <w:jc w:val="center"/>
        </w:trPr>
        <w:tc>
          <w:tcPr>
            <w:tcW w:w="1546" w:type="dxa"/>
            <w:vMerge w:val="continue"/>
            <w:tcBorders>
              <w:left w:val="single" w:color="000000" w:sz="8" w:space="0"/>
              <w:right w:val="single" w:color="000000" w:sz="8" w:space="0"/>
            </w:tcBorders>
            <w:vAlign w:val="center"/>
          </w:tcPr>
          <w:p>
            <w:pPr>
              <w:jc w:val="center"/>
              <w:rPr>
                <w:rFonts w:ascii="仿宋_GB2312" w:hAnsi="Times" w:eastAsia="仿宋_GB2312"/>
                <w:sz w:val="32"/>
                <w:szCs w:val="32"/>
              </w:rPr>
            </w:pPr>
          </w:p>
        </w:tc>
        <w:tc>
          <w:tcPr>
            <w:tcW w:w="1304"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pPr>
              <w:jc w:val="center"/>
              <w:rPr>
                <w:rFonts w:hint="default" w:ascii="仿宋_GB2312" w:hAnsi="Times" w:eastAsia="仿宋_GB2312"/>
                <w:sz w:val="24"/>
                <w:szCs w:val="24"/>
                <w:lang w:val="en-US" w:eastAsia="zh-CN"/>
              </w:rPr>
            </w:pPr>
            <w:r>
              <w:rPr>
                <w:rFonts w:hint="eastAsia" w:ascii="仿宋_GB2312" w:hAnsi="Times" w:eastAsia="仿宋_GB2312"/>
                <w:sz w:val="24"/>
                <w:szCs w:val="24"/>
                <w:lang w:val="en-US" w:eastAsia="zh-CN"/>
              </w:rPr>
              <w:t>1650</w:t>
            </w:r>
          </w:p>
        </w:tc>
        <w:tc>
          <w:tcPr>
            <w:tcW w:w="4558"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pPr>
              <w:keepNext w:val="0"/>
              <w:keepLines w:val="0"/>
              <w:pageBreakBefore w:val="0"/>
              <w:widowControl/>
              <w:kinsoku/>
              <w:wordWrap/>
              <w:overflowPunct/>
              <w:topLinePunct w:val="0"/>
              <w:autoSpaceDE/>
              <w:autoSpaceDN/>
              <w:bidi w:val="0"/>
              <w:adjustRightInd/>
              <w:snapToGrid/>
              <w:spacing w:line="360" w:lineRule="exact"/>
              <w:ind w:firstLine="480" w:firstLineChars="200"/>
              <w:textAlignment w:val="auto"/>
              <w:rPr>
                <w:rFonts w:ascii="仿宋_GB2312" w:hAnsi="Times" w:eastAsia="仿宋_GB2312"/>
                <w:sz w:val="24"/>
                <w:szCs w:val="24"/>
              </w:rPr>
            </w:pPr>
            <w:r>
              <w:rPr>
                <w:rFonts w:hint="eastAsia" w:ascii="仿宋" w:hAnsi="仿宋" w:eastAsia="仿宋" w:cs="仿宋"/>
                <w:sz w:val="24"/>
                <w:szCs w:val="24"/>
                <w:lang w:val="en-US" w:eastAsia="zh-CN"/>
              </w:rPr>
              <w:t>以股份制、混合所有制方式以职教改革的有关精神创新产权制度，设立产权共有合作创建实训基地机构，待引资合作。</w:t>
            </w:r>
          </w:p>
        </w:tc>
        <w:tc>
          <w:tcPr>
            <w:tcW w:w="1258"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pPr>
              <w:jc w:val="center"/>
              <w:rPr>
                <w:rFonts w:ascii="仿宋_GB2312" w:hAnsi="Times" w:eastAsia="仿宋_GB2312"/>
                <w:sz w:val="24"/>
                <w:szCs w:val="24"/>
              </w:rPr>
            </w:pPr>
            <w:r>
              <w:rPr>
                <w:rFonts w:hint="eastAsia" w:ascii="仿宋_GB2312" w:hAnsi="Times" w:eastAsia="仿宋_GB2312"/>
                <w:sz w:val="24"/>
                <w:szCs w:val="24"/>
                <w:lang w:eastAsia="zh-CN"/>
              </w:rPr>
              <w:t>一期工程改扩建部分</w:t>
            </w:r>
          </w:p>
        </w:tc>
      </w:tr>
      <w:tr>
        <w:tblPrEx>
          <w:tblCellMar>
            <w:top w:w="15" w:type="dxa"/>
            <w:left w:w="15" w:type="dxa"/>
            <w:bottom w:w="15" w:type="dxa"/>
            <w:right w:w="15" w:type="dxa"/>
          </w:tblCellMar>
        </w:tblPrEx>
        <w:trPr>
          <w:trHeight w:val="480" w:hRule="atLeast"/>
          <w:jc w:val="center"/>
        </w:trPr>
        <w:tc>
          <w:tcPr>
            <w:tcW w:w="1546" w:type="dxa"/>
            <w:vMerge w:val="continue"/>
            <w:tcBorders>
              <w:left w:val="single" w:color="000000" w:sz="8" w:space="0"/>
              <w:bottom w:val="single" w:color="000000" w:sz="8" w:space="0"/>
              <w:right w:val="single" w:color="000000" w:sz="8" w:space="0"/>
            </w:tcBorders>
            <w:vAlign w:val="center"/>
          </w:tcPr>
          <w:p>
            <w:pPr>
              <w:jc w:val="center"/>
              <w:rPr>
                <w:rFonts w:ascii="仿宋_GB2312" w:hAnsi="Times" w:eastAsia="仿宋_GB2312"/>
                <w:sz w:val="32"/>
                <w:szCs w:val="32"/>
              </w:rPr>
            </w:pPr>
          </w:p>
        </w:tc>
        <w:tc>
          <w:tcPr>
            <w:tcW w:w="1304"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pPr>
              <w:jc w:val="center"/>
              <w:rPr>
                <w:rFonts w:hint="default" w:ascii="仿宋_GB2312" w:hAnsi="Times" w:eastAsia="仿宋_GB2312"/>
                <w:sz w:val="24"/>
                <w:szCs w:val="24"/>
                <w:lang w:val="en-US" w:eastAsia="zh-CN"/>
              </w:rPr>
            </w:pPr>
            <w:r>
              <w:rPr>
                <w:rFonts w:hint="eastAsia" w:ascii="仿宋_GB2312" w:hAnsi="Times" w:eastAsia="仿宋_GB2312"/>
                <w:sz w:val="24"/>
                <w:szCs w:val="24"/>
                <w:lang w:val="en-US" w:eastAsia="zh-CN"/>
              </w:rPr>
              <w:t>2450</w:t>
            </w:r>
          </w:p>
        </w:tc>
        <w:tc>
          <w:tcPr>
            <w:tcW w:w="4558"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pPr>
              <w:keepNext w:val="0"/>
              <w:keepLines w:val="0"/>
              <w:pageBreakBefore w:val="0"/>
              <w:widowControl/>
              <w:kinsoku/>
              <w:wordWrap/>
              <w:overflowPunct/>
              <w:topLinePunct w:val="0"/>
              <w:autoSpaceDE/>
              <w:autoSpaceDN/>
              <w:bidi w:val="0"/>
              <w:adjustRightInd/>
              <w:snapToGrid/>
              <w:spacing w:line="360" w:lineRule="exact"/>
              <w:ind w:firstLine="480" w:firstLineChars="200"/>
              <w:textAlignment w:val="auto"/>
              <w:rPr>
                <w:rFonts w:ascii="仿宋_GB2312" w:hAnsi="Times" w:eastAsia="仿宋_GB2312"/>
                <w:sz w:val="24"/>
                <w:szCs w:val="24"/>
              </w:rPr>
            </w:pPr>
            <w:r>
              <w:rPr>
                <w:rFonts w:hint="eastAsia" w:ascii="仿宋" w:hAnsi="仿宋" w:eastAsia="仿宋" w:cs="仿宋"/>
                <w:sz w:val="24"/>
                <w:szCs w:val="24"/>
                <w:lang w:val="en-US" w:eastAsia="zh-CN"/>
              </w:rPr>
              <w:t>以股份制、混合所有制方式以职教改革的有关精神创新产权制度，设立产权共有合作创建实训基地机构，待引资合作。</w:t>
            </w:r>
          </w:p>
        </w:tc>
        <w:tc>
          <w:tcPr>
            <w:tcW w:w="1258"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pPr>
              <w:jc w:val="center"/>
              <w:rPr>
                <w:rFonts w:ascii="仿宋_GB2312" w:hAnsi="Times" w:eastAsia="仿宋_GB2312"/>
                <w:sz w:val="24"/>
                <w:szCs w:val="24"/>
              </w:rPr>
            </w:pPr>
            <w:r>
              <w:rPr>
                <w:rFonts w:hint="eastAsia" w:ascii="仿宋_GB2312" w:hAnsi="Times" w:eastAsia="仿宋_GB2312"/>
                <w:sz w:val="24"/>
                <w:szCs w:val="24"/>
                <w:lang w:eastAsia="zh-CN"/>
              </w:rPr>
              <w:t>二期工程</w:t>
            </w:r>
          </w:p>
        </w:tc>
      </w:tr>
      <w:tr>
        <w:tblPrEx>
          <w:tblCellMar>
            <w:top w:w="15" w:type="dxa"/>
            <w:left w:w="15" w:type="dxa"/>
            <w:bottom w:w="15" w:type="dxa"/>
            <w:right w:w="15" w:type="dxa"/>
          </w:tblCellMar>
        </w:tblPrEx>
        <w:trPr>
          <w:jc w:val="center"/>
        </w:trPr>
        <w:tc>
          <w:tcPr>
            <w:tcW w:w="1546"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pPr>
              <w:spacing w:line="0" w:lineRule="atLeast"/>
              <w:jc w:val="center"/>
              <w:rPr>
                <w:rFonts w:ascii="仿宋_GB2312" w:hAnsi="Times" w:eastAsia="仿宋_GB2312"/>
                <w:sz w:val="32"/>
                <w:szCs w:val="32"/>
              </w:rPr>
            </w:pPr>
            <w:r>
              <w:rPr>
                <w:rFonts w:hint="eastAsia" w:ascii="仿宋_GB2312" w:hAnsi="Arial" w:eastAsia="仿宋_GB2312" w:cs="Arial"/>
                <w:color w:val="000000"/>
                <w:sz w:val="32"/>
                <w:szCs w:val="32"/>
              </w:rPr>
              <w:t>总计</w:t>
            </w:r>
          </w:p>
        </w:tc>
        <w:tc>
          <w:tcPr>
            <w:tcW w:w="1304"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pPr>
              <w:jc w:val="center"/>
              <w:rPr>
                <w:rFonts w:hint="default" w:ascii="仿宋_GB2312" w:hAnsi="Times" w:eastAsia="仿宋_GB2312"/>
                <w:sz w:val="24"/>
                <w:szCs w:val="24"/>
                <w:lang w:val="en-US" w:eastAsia="zh-CN"/>
              </w:rPr>
            </w:pPr>
            <w:r>
              <w:rPr>
                <w:rFonts w:hint="eastAsia" w:ascii="仿宋_GB2312" w:hAnsi="Times" w:eastAsia="仿宋_GB2312"/>
                <w:sz w:val="24"/>
                <w:szCs w:val="24"/>
                <w:lang w:val="en-US" w:eastAsia="zh-CN"/>
              </w:rPr>
              <w:t>7100</w:t>
            </w:r>
          </w:p>
        </w:tc>
        <w:tc>
          <w:tcPr>
            <w:tcW w:w="4558"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pPr>
              <w:jc w:val="center"/>
              <w:rPr>
                <w:rFonts w:ascii="仿宋_GB2312" w:hAnsi="Times" w:eastAsia="仿宋_GB2312"/>
                <w:sz w:val="24"/>
                <w:szCs w:val="24"/>
              </w:rPr>
            </w:pPr>
          </w:p>
        </w:tc>
        <w:tc>
          <w:tcPr>
            <w:tcW w:w="1258"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pPr>
              <w:jc w:val="center"/>
              <w:rPr>
                <w:rFonts w:ascii="仿宋_GB2312" w:hAnsi="Times" w:eastAsia="仿宋_GB2312"/>
                <w:sz w:val="24"/>
                <w:szCs w:val="24"/>
              </w:rPr>
            </w:pPr>
          </w:p>
        </w:tc>
      </w:tr>
    </w:tbl>
    <w:p>
      <w:pPr>
        <w:jc w:val="both"/>
        <w:rPr>
          <w:rFonts w:ascii="黑体" w:hAnsi="黑体" w:eastAsia="黑体"/>
          <w:sz w:val="32"/>
          <w:szCs w:val="32"/>
        </w:rPr>
      </w:pPr>
      <w:r>
        <w:rPr>
          <w:rFonts w:hint="eastAsia" w:ascii="黑体" w:hAnsi="黑体" w:eastAsia="黑体" w:cs="Arial"/>
          <w:color w:val="000000"/>
          <w:sz w:val="32"/>
          <w:szCs w:val="32"/>
        </w:rPr>
        <w:t>五、结论和体会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0" w:firstLineChars="200"/>
        <w:textAlignment w:val="auto"/>
        <w:rPr>
          <w:rFonts w:hint="eastAsia" w:ascii="仿宋_GB2312" w:hAnsi="STFangsong" w:eastAsia="仿宋_GB2312" w:cs="Arial"/>
          <w:color w:val="000000"/>
          <w:sz w:val="32"/>
          <w:szCs w:val="32"/>
          <w:lang w:val="en-US" w:eastAsia="zh-CN"/>
        </w:rPr>
      </w:pPr>
      <w:r>
        <w:rPr>
          <w:rFonts w:hint="eastAsia" w:ascii="仿宋_GB2312" w:hAnsi="STFangsong" w:eastAsia="仿宋_GB2312" w:cs="Arial"/>
          <w:color w:val="000000"/>
          <w:sz w:val="32"/>
          <w:szCs w:val="32"/>
          <w:lang w:val="en-US" w:eastAsia="zh-CN"/>
        </w:rPr>
        <w:t>研究深化产教融合是党的十九大报告明确的重大改革任务，党中央国务院印发的《加快推进教育现代化实施方案[2018-2022年]》、《国家职业教育改革实施方案》、《关于深化产教融合的若干意见》均对深化产教融合建设产教融合型企业工作作出部署，是建设产教融合型企业是推进经济高质量发展的必然要求。建设产教融合型企业是深化推动教育改革，重塑我国人力资源优势的实践创新。建设产教融合型企业是培育市场创新主体，打造产业核心竞争力的内在需求。开发产教融合型企业培育工作的目标，国家到2022年企业参与职业教育积极性有效大大提升，培育数以万计的产教融合型企业，就是要有引导和充分激发企业的内生动力，在鼓励企业率先探索的同时，积极加大政府支持引导，形成“先行者先受益”的政策激励效应，将企业参与产教融合改革从“要我做”变成“我要做”，营造企业积极投入竞相参与的良好氛围，把数以万计的产教融合型企业打造成为支撑高质量发展的“学习培训工厂”，综上所述确定创立产教融合型企业为主体的实训基地建设与项目开发，迫在眉睫。</w:t>
      </w:r>
    </w:p>
    <w:p>
      <w:pPr>
        <w:keepNext w:val="0"/>
        <w:keepLines w:val="0"/>
        <w:pageBreakBefore w:val="0"/>
        <w:widowControl/>
        <w:kinsoku/>
        <w:wordWrap/>
        <w:overflowPunct/>
        <w:topLinePunct w:val="0"/>
        <w:autoSpaceDE/>
        <w:autoSpaceDN/>
        <w:bidi w:val="0"/>
        <w:adjustRightInd/>
        <w:snapToGrid/>
        <w:jc w:val="both"/>
        <w:textAlignment w:val="auto"/>
        <w:rPr>
          <w:rFonts w:ascii="黑体" w:hAnsi="黑体" w:eastAsia="黑体"/>
          <w:sz w:val="32"/>
          <w:szCs w:val="32"/>
        </w:rPr>
      </w:pPr>
      <w:r>
        <w:rPr>
          <w:rFonts w:hint="eastAsia" w:ascii="仿宋_GB2312" w:hAnsi="Times" w:eastAsia="仿宋_GB2312"/>
          <w:sz w:val="32"/>
          <w:szCs w:val="32"/>
        </w:rPr>
        <w:t xml:space="preserve"> </w:t>
      </w:r>
      <w:r>
        <w:rPr>
          <w:rFonts w:hint="eastAsia" w:ascii="黑体" w:hAnsi="黑体" w:eastAsia="黑体" w:cs="Arial"/>
          <w:color w:val="000000"/>
          <w:sz w:val="32"/>
          <w:szCs w:val="32"/>
        </w:rPr>
        <w:t>六、项目期间的外延贡献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0" w:firstLineChars="200"/>
        <w:textAlignment w:val="auto"/>
        <w:rPr>
          <w:rFonts w:hint="eastAsia" w:ascii="仿宋_GB2312" w:hAnsi="STFangsong" w:eastAsia="仿宋_GB2312" w:cs="Arial"/>
          <w:color w:val="000000"/>
          <w:sz w:val="32"/>
          <w:szCs w:val="32"/>
          <w:lang w:val="en-US" w:eastAsia="zh-CN"/>
        </w:rPr>
      </w:pPr>
      <w:r>
        <w:rPr>
          <w:rFonts w:hint="eastAsia" w:ascii="仿宋_GB2312" w:hAnsi="STFangsong" w:eastAsia="仿宋_GB2312" w:cs="Arial"/>
          <w:color w:val="000000"/>
          <w:sz w:val="32"/>
          <w:szCs w:val="32"/>
          <w:lang w:val="en-US" w:eastAsia="zh-CN"/>
        </w:rPr>
        <w:t>1、</w:t>
      </w:r>
      <w:r>
        <w:rPr>
          <w:rFonts w:hint="eastAsia" w:ascii="仿宋_GB2312" w:hAnsi="STFangsong" w:eastAsia="仿宋_GB2312" w:cs="Arial"/>
          <w:color w:val="000000"/>
          <w:sz w:val="32"/>
          <w:szCs w:val="32"/>
        </w:rPr>
        <w:t>符合</w:t>
      </w:r>
      <w:r>
        <w:rPr>
          <w:rFonts w:hint="eastAsia" w:ascii="仿宋_GB2312" w:hAnsi="STFangsong" w:eastAsia="仿宋_GB2312" w:cs="Arial"/>
          <w:color w:val="000000"/>
          <w:sz w:val="32"/>
          <w:szCs w:val="32"/>
          <w:lang w:eastAsia="zh-CN"/>
        </w:rPr>
        <w:t>国家、省制定的产教融合性产业的各项政策，符合推进引企驻校，</w:t>
      </w:r>
      <w:r>
        <w:rPr>
          <w:rFonts w:hint="eastAsia" w:ascii="仿宋_GB2312" w:hAnsi="STFangsong" w:eastAsia="仿宋_GB2312" w:cs="Arial"/>
          <w:color w:val="000000"/>
          <w:sz w:val="32"/>
          <w:szCs w:val="32"/>
          <w:lang w:val="en-US" w:eastAsia="zh-CN"/>
        </w:rPr>
        <w:t>引校入企，校企一体化模式。共同组建产教融合生产实训车间化型实训基地建设。实行双主体一体化的“双元制”职教培训模式，为社会经济建设服务。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0" w:firstLineChars="200"/>
        <w:textAlignment w:val="auto"/>
        <w:rPr>
          <w:rFonts w:hint="eastAsia" w:ascii="仿宋_GB2312" w:hAnsi="STFangsong" w:eastAsia="仿宋_GB2312" w:cs="Arial"/>
          <w:color w:val="000000"/>
          <w:sz w:val="32"/>
          <w:szCs w:val="32"/>
          <w:lang w:val="en-US" w:eastAsia="zh-CN"/>
        </w:rPr>
      </w:pPr>
      <w:r>
        <w:rPr>
          <w:rFonts w:hint="eastAsia" w:ascii="仿宋_GB2312" w:hAnsi="STFangsong" w:eastAsia="仿宋_GB2312" w:cs="Arial"/>
          <w:color w:val="000000"/>
          <w:sz w:val="32"/>
          <w:szCs w:val="32"/>
          <w:lang w:val="en-US" w:eastAsia="zh-CN"/>
        </w:rPr>
        <w:t>2、打造双师型教师队伍建设。引进德国“双元制”教育模式。按着企业生产性专业和职教基础课程体系，对推行现代学徒制和建立新型的“双师型”教师队伍提升培训。成为“双师型”教师团队建设的培养实训基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0" w:firstLineChars="200"/>
        <w:textAlignment w:val="auto"/>
        <w:rPr>
          <w:rFonts w:hint="eastAsia" w:ascii="仿宋_GB2312" w:hAnsi="STFangsong" w:eastAsia="仿宋_GB2312" w:cs="Arial"/>
          <w:color w:val="000000"/>
          <w:sz w:val="32"/>
          <w:szCs w:val="32"/>
          <w:lang w:val="en-US" w:eastAsia="zh-CN"/>
        </w:rPr>
      </w:pPr>
      <w:r>
        <w:rPr>
          <w:rFonts w:hint="eastAsia" w:ascii="仿宋_GB2312" w:hAnsi="STFangsong" w:eastAsia="仿宋_GB2312" w:cs="Arial"/>
          <w:color w:val="000000"/>
          <w:sz w:val="32"/>
          <w:szCs w:val="32"/>
          <w:lang w:val="en-US" w:eastAsia="zh-CN"/>
        </w:rPr>
        <w:t>3、借鉴德国先进的职教管理体系及设计理念、工作流程、项目规划、生产工艺、技术培训标准、课程设计等标准。打造专业技术研发创造创新中心，专业性的试验检测中心。依托品牌专业扩大生源，通过实训基地工厂车间化，培育出能直接上岗的实用型技术技能人才，主动服务于全社会经济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0" w:firstLineChars="200"/>
        <w:textAlignment w:val="auto"/>
        <w:rPr>
          <w:rFonts w:hint="eastAsia" w:ascii="仿宋_GB2312" w:hAnsi="STFangsong" w:eastAsia="仿宋_GB2312" w:cs="Arial"/>
          <w:color w:val="000000"/>
          <w:sz w:val="32"/>
          <w:szCs w:val="32"/>
          <w:lang w:val="en-US" w:eastAsia="zh-CN"/>
        </w:rPr>
      </w:pPr>
      <w:r>
        <w:rPr>
          <w:rFonts w:hint="eastAsia" w:ascii="仿宋_GB2312" w:hAnsi="STFangsong" w:eastAsia="仿宋_GB2312" w:cs="Arial"/>
          <w:color w:val="000000"/>
          <w:sz w:val="32"/>
          <w:szCs w:val="32"/>
          <w:lang w:val="en-US" w:eastAsia="zh-CN"/>
        </w:rPr>
        <w:t>4、解决社会就业问题。按照国家2025人才培育目标，适应全社会及企业经济发展对人才的需求，针对在校中学高中学生、下岗职工、农民工转岗，退役军人，退役运动员等学习专业技能，在职技师提升等进行生产性专业化培训，为更好的提升保证上岗就业创造条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0" w:firstLineChars="200"/>
        <w:textAlignment w:val="auto"/>
        <w:rPr>
          <w:rFonts w:hint="eastAsia" w:ascii="仿宋_GB2312" w:hAnsi="STFangsong" w:eastAsia="仿宋_GB2312" w:cs="Arial"/>
          <w:color w:val="000000"/>
          <w:sz w:val="32"/>
          <w:szCs w:val="32"/>
          <w:lang w:val="en-US" w:eastAsia="zh-CN"/>
        </w:rPr>
      </w:pPr>
      <w:r>
        <w:rPr>
          <w:rFonts w:hint="eastAsia" w:ascii="仿宋_GB2312" w:hAnsi="STFangsong" w:eastAsia="仿宋_GB2312" w:cs="Arial"/>
          <w:color w:val="000000"/>
          <w:sz w:val="32"/>
          <w:szCs w:val="32"/>
          <w:lang w:val="en-US" w:eastAsia="zh-CN"/>
        </w:rPr>
        <w:t>5、培养大国工匠。按照大国工匠目标，培养复合型、创新型技能人才。在获得国家承认高等专科文凭的同时，取得国内通用技能等级证书，对符合条件的优秀社会学员，进行德国（AHK）等级考核，获得国际顶尖技能等级证书，积极参与“一带一路”国际合作项目。真正实现学历证书和职业技能等级证书考核、定级证书互通衔接，为培养更多高、精、尖大国工匠打牢基础，促进社会就业。</w:t>
      </w:r>
    </w:p>
    <w:p>
      <w:pPr>
        <w:jc w:val="both"/>
        <w:rPr>
          <w:rFonts w:ascii="黑体" w:hAnsi="黑体" w:eastAsia="黑体"/>
          <w:sz w:val="32"/>
          <w:szCs w:val="32"/>
        </w:rPr>
      </w:pPr>
      <w:r>
        <w:rPr>
          <w:rFonts w:hint="eastAsia" w:ascii="仿宋_GB2312" w:hAnsi="Times" w:eastAsia="仿宋_GB2312"/>
          <w:sz w:val="32"/>
          <w:szCs w:val="32"/>
        </w:rPr>
        <w:t xml:space="preserve"> </w:t>
      </w:r>
      <w:r>
        <w:rPr>
          <w:rFonts w:hint="eastAsia" w:ascii="黑体" w:hAnsi="黑体" w:eastAsia="黑体" w:cs="Arial"/>
          <w:color w:val="000000"/>
          <w:sz w:val="32"/>
          <w:szCs w:val="32"/>
        </w:rPr>
        <w:t>七、本人签名和盖章</w:t>
      </w:r>
    </w:p>
    <w:p>
      <w:pPr>
        <w:ind w:firstLine="540"/>
        <w:jc w:val="both"/>
        <w:rPr>
          <w:rFonts w:ascii="仿宋_GB2312" w:hAnsi="Times" w:eastAsia="仿宋_GB2312"/>
          <w:sz w:val="32"/>
          <w:szCs w:val="32"/>
        </w:rPr>
      </w:pPr>
      <w:r>
        <w:rPr>
          <w:rFonts w:hint="eastAsia" w:ascii="仿宋_GB2312" w:hAnsi="STFangsong" w:eastAsia="仿宋_GB2312" w:cs="Arial"/>
          <w:color w:val="000000"/>
          <w:sz w:val="32"/>
          <w:szCs w:val="32"/>
        </w:rPr>
        <w:t>本人确认此报告的信息无误，也不存在知识产权纠纷问题。本人确认所开发的成果开源共享，以便于受惠于更多的学校。</w:t>
      </w:r>
    </w:p>
    <w:p>
      <w:pPr>
        <w:spacing w:after="240"/>
        <w:rPr>
          <w:rFonts w:ascii="仿宋_GB2312" w:hAnsi="Times" w:eastAsia="仿宋_GB2312"/>
          <w:sz w:val="32"/>
          <w:szCs w:val="32"/>
        </w:rPr>
      </w:pPr>
      <w:r>
        <w:rPr>
          <w:rFonts w:hint="eastAsia" w:ascii="仿宋_GB2312" w:hAnsi="Times" w:eastAsia="仿宋_GB2312"/>
          <w:sz w:val="32"/>
          <w:szCs w:val="32"/>
        </w:rPr>
        <w:t xml:space="preserve"> </w:t>
      </w:r>
    </w:p>
    <w:p>
      <w:pPr>
        <w:jc w:val="right"/>
        <w:rPr>
          <w:rFonts w:ascii="仿宋_GB2312" w:hAnsi="Times" w:eastAsia="仿宋_GB2312"/>
          <w:sz w:val="32"/>
          <w:szCs w:val="32"/>
        </w:rPr>
      </w:pPr>
      <w:r>
        <w:rPr>
          <w:rFonts w:hint="eastAsia" w:ascii="仿宋_GB2312" w:hAnsi="STFangsong" w:eastAsia="仿宋_GB2312" w:cs="Arial"/>
          <w:color w:val="000000"/>
          <w:sz w:val="32"/>
          <w:szCs w:val="32"/>
        </w:rPr>
        <w:t>签名：</w:t>
      </w:r>
      <w:r>
        <w:rPr>
          <w:rFonts w:hint="eastAsia" w:ascii="仿宋_GB2312" w:hAnsi="Arial" w:eastAsia="仿宋_GB2312" w:cs="Arial"/>
          <w:color w:val="000000"/>
          <w:sz w:val="32"/>
          <w:szCs w:val="32"/>
        </w:rPr>
        <w:t>________________</w:t>
      </w:r>
    </w:p>
    <w:p>
      <w:pPr>
        <w:rPr>
          <w:rFonts w:ascii="仿宋_GB2312" w:hAnsi="Times" w:eastAsia="仿宋_GB2312"/>
          <w:sz w:val="32"/>
          <w:szCs w:val="32"/>
        </w:rPr>
      </w:pPr>
      <w:r>
        <w:rPr>
          <w:rFonts w:hint="eastAsia" w:ascii="仿宋_GB2312" w:hAnsi="Times" w:eastAsia="仿宋_GB2312"/>
          <w:sz w:val="32"/>
          <w:szCs w:val="32"/>
        </w:rPr>
        <w:t xml:space="preserve"> </w:t>
      </w:r>
    </w:p>
    <w:p>
      <w:pPr>
        <w:ind w:right="700"/>
        <w:jc w:val="center"/>
        <w:rPr>
          <w:rFonts w:ascii="仿宋_GB2312" w:hAnsi="Times" w:eastAsia="仿宋_GB2312"/>
          <w:sz w:val="32"/>
          <w:szCs w:val="32"/>
        </w:rPr>
      </w:pPr>
      <w:r>
        <w:rPr>
          <w:rFonts w:hint="eastAsia" w:ascii="仿宋_GB2312" w:hAnsi="STFangsong" w:eastAsia="仿宋_GB2312" w:cs="Arial"/>
          <w:color w:val="000000"/>
          <w:sz w:val="32"/>
          <w:szCs w:val="32"/>
        </w:rPr>
        <w:t xml:space="preserve">                  </w:t>
      </w:r>
      <w:r>
        <w:rPr>
          <w:rFonts w:hint="eastAsia" w:ascii="仿宋_GB2312" w:hAnsi="STFangsong" w:eastAsia="仿宋_GB2312" w:cs="Arial"/>
          <w:color w:val="000000"/>
          <w:sz w:val="32"/>
          <w:szCs w:val="32"/>
          <w:lang w:val="en-US" w:eastAsia="zh-CN"/>
        </w:rPr>
        <w:t xml:space="preserve">  </w:t>
      </w:r>
      <w:bookmarkStart w:id="0" w:name="_GoBack"/>
      <w:bookmarkEnd w:id="0"/>
      <w:r>
        <w:rPr>
          <w:rFonts w:hint="eastAsia" w:ascii="仿宋_GB2312" w:hAnsi="STFangsong" w:eastAsia="仿宋_GB2312" w:cs="Arial"/>
          <w:color w:val="000000"/>
          <w:sz w:val="32"/>
          <w:szCs w:val="32"/>
        </w:rPr>
        <w:t>盖章：</w:t>
      </w:r>
    </w:p>
    <w:p>
      <w:pPr>
        <w:rPr>
          <w:rFonts w:ascii="STFangsong" w:hAnsi="Times" w:eastAsia="STFangsong"/>
          <w:sz w:val="20"/>
          <w:szCs w:val="20"/>
        </w:rPr>
      </w:pPr>
      <w:r>
        <w:rPr>
          <w:rFonts w:hint="eastAsia" w:ascii="STFangsong" w:hAnsi="Times" w:eastAsia="STFangsong"/>
          <w:sz w:val="20"/>
          <w:szCs w:val="20"/>
        </w:rPr>
        <w:t xml:space="preserve"> </w:t>
      </w:r>
    </w:p>
    <w:p>
      <w:pPr>
        <w:pStyle w:val="7"/>
        <w:spacing w:line="273" w:lineRule="auto"/>
        <w:ind w:firstLine="567"/>
        <w:jc w:val="both"/>
      </w:pPr>
      <w:r>
        <w:rPr>
          <w:rFonts w:hint="eastAsia"/>
        </w:rPr>
        <w:t xml:space="preserve"> </w:t>
      </w:r>
    </w:p>
    <w:p>
      <w:pPr>
        <w:pStyle w:val="7"/>
        <w:spacing w:line="273" w:lineRule="auto"/>
        <w:ind w:firstLine="567"/>
        <w:jc w:val="both"/>
      </w:pPr>
      <w:r>
        <w:rPr>
          <w:rFonts w:hint="eastAsia"/>
        </w:rPr>
        <w:t xml:space="preserve"> </w:t>
      </w:r>
    </w:p>
    <w:sectPr>
      <w:pgSz w:w="11906" w:h="16838"/>
      <w:pgMar w:top="1440" w:right="1644" w:bottom="1440"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STFangsong">
    <w:altName w:val="宋体"/>
    <w:panose1 w:val="00000000000000000000"/>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452E9B"/>
    <w:multiLevelType w:val="singleLevel"/>
    <w:tmpl w:val="9A452E9B"/>
    <w:lvl w:ilvl="0" w:tentative="0">
      <w:start w:val="1"/>
      <w:numFmt w:val="chineseCounting"/>
      <w:suff w:val="nothing"/>
      <w:lvlText w:val="（%1）"/>
      <w:lvlJc w:val="left"/>
      <w:rPr>
        <w:rFonts w:hint="eastAsia"/>
      </w:rPr>
    </w:lvl>
  </w:abstractNum>
  <w:abstractNum w:abstractNumId="1">
    <w:nsid w:val="41064D8F"/>
    <w:multiLevelType w:val="multilevel"/>
    <w:tmpl w:val="41064D8F"/>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1BD"/>
    <w:rsid w:val="00075086"/>
    <w:rsid w:val="001E7C40"/>
    <w:rsid w:val="002036A7"/>
    <w:rsid w:val="00365D52"/>
    <w:rsid w:val="006828AD"/>
    <w:rsid w:val="006F4743"/>
    <w:rsid w:val="00707C8B"/>
    <w:rsid w:val="007F6CF4"/>
    <w:rsid w:val="00813F87"/>
    <w:rsid w:val="008541BD"/>
    <w:rsid w:val="00A253E1"/>
    <w:rsid w:val="00A81589"/>
    <w:rsid w:val="00C616B1"/>
    <w:rsid w:val="00D86C7E"/>
    <w:rsid w:val="2ACA34C8"/>
    <w:rsid w:val="5A6E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0"/>
      <w:sz w:val="24"/>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1"/>
    <w:unhideWhenUsed/>
    <w:uiPriority w:val="99"/>
    <w:pPr>
      <w:tabs>
        <w:tab w:val="center" w:pos="4153"/>
        <w:tab w:val="right" w:pos="8306"/>
      </w:tabs>
      <w:snapToGrid w:val="0"/>
    </w:pPr>
    <w:rPr>
      <w:sz w:val="18"/>
      <w:szCs w:val="18"/>
    </w:rPr>
  </w:style>
  <w:style w:type="paragraph" w:styleId="3">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nhideWhenUsed/>
    <w:qFormat/>
    <w:uiPriority w:val="99"/>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正文1"/>
    <w:basedOn w:val="1"/>
    <w:qFormat/>
    <w:uiPriority w:val="0"/>
    <w:rPr>
      <w:rFonts w:ascii="Arial Unicode MS" w:hAnsi="Arial Unicode MS" w:eastAsia="STFangsong" w:cs="Arial Unicode MS"/>
      <w:color w:val="000000"/>
      <w:sz w:val="28"/>
      <w:szCs w:val="28"/>
    </w:rPr>
  </w:style>
  <w:style w:type="paragraph" w:customStyle="1" w:styleId="8">
    <w:name w:val="正文2"/>
    <w:uiPriority w:val="0"/>
    <w:pPr>
      <w:jc w:val="both"/>
    </w:pPr>
    <w:rPr>
      <w:rFonts w:ascii="Times New Roman" w:hAnsi="Times New Roman" w:eastAsia="宋体" w:cs="Times New Roman"/>
      <w:kern w:val="2"/>
      <w:sz w:val="21"/>
      <w:szCs w:val="21"/>
      <w:lang w:val="en-US" w:eastAsia="zh-CN" w:bidi="ar-SA"/>
    </w:rPr>
  </w:style>
  <w:style w:type="paragraph" w:styleId="9">
    <w:name w:val="List Paragraph"/>
    <w:basedOn w:val="1"/>
    <w:qFormat/>
    <w:uiPriority w:val="34"/>
    <w:pPr>
      <w:ind w:firstLine="420" w:firstLineChars="200"/>
    </w:pPr>
  </w:style>
  <w:style w:type="character" w:customStyle="1" w:styleId="10">
    <w:name w:val="页眉 字符"/>
    <w:basedOn w:val="6"/>
    <w:link w:val="3"/>
    <w:uiPriority w:val="99"/>
    <w:rPr>
      <w:rFonts w:ascii="Times New Roman" w:hAnsi="Times New Roman" w:eastAsia="宋体" w:cs="Times New Roman"/>
      <w:kern w:val="0"/>
      <w:sz w:val="18"/>
      <w:szCs w:val="18"/>
    </w:rPr>
  </w:style>
  <w:style w:type="character" w:customStyle="1" w:styleId="11">
    <w:name w:val="页脚 字符"/>
    <w:basedOn w:val="6"/>
    <w:link w:val="2"/>
    <w:uiPriority w:val="99"/>
    <w:rPr>
      <w:rFonts w:ascii="Times New Roman" w:hAnsi="Times New Roman" w:eastAsia="宋体" w:cs="Times New Roman"/>
      <w:kern w:val="0"/>
      <w:sz w:val="18"/>
      <w:szCs w:val="18"/>
    </w:rPr>
  </w:style>
  <w:style w:type="paragraph" w:customStyle="1" w:styleId="12">
    <w:name w:val="列出段落1"/>
    <w:basedOn w:val="1"/>
    <w:unhideWhenUsed/>
    <w:qFormat/>
    <w:uiPriority w:val="99"/>
    <w:pPr>
      <w:ind w:firstLine="420" w:firstLineChars="200"/>
    </w:pPr>
  </w:style>
  <w:style w:type="paragraph" w:customStyle="1" w:styleId="13">
    <w:name w:val="正文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112</Words>
  <Characters>641</Characters>
  <Lines>5</Lines>
  <Paragraphs>1</Paragraphs>
  <TotalTime>2</TotalTime>
  <ScaleCrop>false</ScaleCrop>
  <LinksUpToDate>false</LinksUpToDate>
  <CharactersWithSpaces>752</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2017-11-04T12:57:00Z</dcterms:created>
  <dc:creator>sf</dc:creator>
  <cp:lastModifiedBy>@妖@</cp:lastModifiedBy>
  <cp:lastPrinted>2020-03-19T03:21:15Z</cp:lastPrinted>
  <dcterms:modified xsi:type="dcterms:W3CDTF">2020-03-19T03:21:20Z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